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1" w:firstLineChars="50"/>
        <w:jc w:val="center"/>
        <w:rPr>
          <w:b/>
          <w:sz w:val="28"/>
          <w:szCs w:val="28"/>
        </w:rPr>
      </w:pPr>
      <w:r>
        <w:rPr>
          <w:b/>
          <w:sz w:val="28"/>
          <w:szCs w:val="28"/>
        </w:rPr>
        <w:t>Seminar on Ecological Environmental Protection and Green Low-Carbon Development of Transportation for Developing Countries</w:t>
      </w:r>
    </w:p>
    <w:tbl>
      <w:tblPr>
        <w:tblStyle w:val="9"/>
        <w:tblW w:w="975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46"/>
        <w:gridCol w:w="2158"/>
        <w:gridCol w:w="2306"/>
        <w:gridCol w:w="251"/>
        <w:gridCol w:w="1499"/>
        <w:gridCol w:w="189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bookmarkStart w:id="0" w:name="_GoBack"/>
            <w:bookmarkEnd w:id="0"/>
            <w:r>
              <w:t>Name</w:t>
            </w:r>
          </w:p>
        </w:tc>
        <w:tc>
          <w:tcPr>
            <w:tcW w:w="8110" w:type="dxa"/>
            <w:gridSpan w:val="5"/>
            <w:vAlign w:val="center"/>
          </w:tcPr>
          <w:p>
            <w:pPr>
              <w:jc w:val="center"/>
            </w:pPr>
            <w:r>
              <w:t xml:space="preserve">Seminar on Ecological Environmental Protection and Green Low-Carbon Development of Transportation for Developing Countries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Organizer</w:t>
            </w:r>
          </w:p>
        </w:tc>
        <w:tc>
          <w:tcPr>
            <w:tcW w:w="8110" w:type="dxa"/>
            <w:gridSpan w:val="5"/>
            <w:vAlign w:val="center"/>
          </w:tcPr>
          <w:p>
            <w:pPr>
              <w:jc w:val="center"/>
            </w:pPr>
            <w:r>
              <w:t>Academy for International Business Officials (AIBO), Ministry of Commerce, the P. R. China</w:t>
            </w:r>
          </w:p>
          <w:p>
            <w:pPr>
              <w:jc w:val="center"/>
            </w:pPr>
            <w:r>
              <w:t>China Railway Eryuan Engineering Group CO. LTD (CREEC)</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Time</w:t>
            </w:r>
          </w:p>
        </w:tc>
        <w:tc>
          <w:tcPr>
            <w:tcW w:w="4464" w:type="dxa"/>
            <w:gridSpan w:val="2"/>
            <w:vAlign w:val="center"/>
          </w:tcPr>
          <w:p>
            <w:pPr>
              <w:jc w:val="center"/>
            </w:pPr>
            <w:r>
              <w:t>S</w:t>
            </w:r>
            <w:r>
              <w:rPr>
                <w:rFonts w:hint="eastAsia"/>
              </w:rPr>
              <w:t>eptem</w:t>
            </w:r>
            <w:r>
              <w:t xml:space="preserve">ber 9 to September </w:t>
            </w:r>
            <w:r>
              <w:rPr>
                <w:rFonts w:hint="eastAsia"/>
              </w:rPr>
              <w:t>2</w:t>
            </w:r>
            <w:r>
              <w:t>2, 202</w:t>
            </w:r>
            <w:r>
              <w:rPr>
                <w:rFonts w:hint="eastAsia"/>
              </w:rPr>
              <w:t>6</w:t>
            </w:r>
            <w:r>
              <w:t xml:space="preserve"> (14 days)</w:t>
            </w:r>
          </w:p>
        </w:tc>
        <w:tc>
          <w:tcPr>
            <w:tcW w:w="1750" w:type="dxa"/>
            <w:gridSpan w:val="2"/>
            <w:vAlign w:val="center"/>
          </w:tcPr>
          <w:p>
            <w:pPr>
              <w:jc w:val="center"/>
            </w:pPr>
            <w:r>
              <w:t>Language</w:t>
            </w:r>
          </w:p>
        </w:tc>
        <w:tc>
          <w:tcPr>
            <w:tcW w:w="1896" w:type="dxa"/>
            <w:vAlign w:val="center"/>
          </w:tcPr>
          <w:p>
            <w:pPr>
              <w:jc w:val="center"/>
            </w:pPr>
            <w:r>
              <w:rPr>
                <w:lang w:eastAsia="zh-Hans"/>
              </w:rPr>
              <w:t>English</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Invited Participants</w:t>
            </w:r>
          </w:p>
        </w:tc>
        <w:tc>
          <w:tcPr>
            <w:tcW w:w="8110" w:type="dxa"/>
            <w:gridSpan w:val="5"/>
            <w:vAlign w:val="center"/>
          </w:tcPr>
          <w:p>
            <w:pPr>
              <w:jc w:val="center"/>
              <w:rPr>
                <w:szCs w:val="21"/>
              </w:rPr>
            </w:pPr>
            <w:r>
              <w:rPr>
                <w:lang w:eastAsia="zh-Hans"/>
              </w:rPr>
              <w:t xml:space="preserve">Officials from relevant departments from Developing </w:t>
            </w:r>
            <w:r>
              <w:rPr>
                <w:rFonts w:hint="eastAsia"/>
              </w:rPr>
              <w:t>countries</w:t>
            </w:r>
            <w:r>
              <w:rPr>
                <w:lang w:eastAsia="zh-Hans"/>
              </w:rPr>
              <w:t xml:space="preserve"> (for officials at the Director-General and Director level)</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Number of Participants</w:t>
            </w:r>
          </w:p>
        </w:tc>
        <w:tc>
          <w:tcPr>
            <w:tcW w:w="8110" w:type="dxa"/>
            <w:gridSpan w:val="5"/>
            <w:vAlign w:val="center"/>
          </w:tcPr>
          <w:p>
            <w:pPr>
              <w:jc w:val="center"/>
            </w:pPr>
            <w:r>
              <w:t>25 persons in total</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restart"/>
            <w:vAlign w:val="center"/>
          </w:tcPr>
          <w:p>
            <w:pPr>
              <w:jc w:val="center"/>
            </w:pPr>
            <w:r>
              <w:t>Requirements for the Participants</w:t>
            </w:r>
          </w:p>
        </w:tc>
        <w:tc>
          <w:tcPr>
            <w:tcW w:w="2158" w:type="dxa"/>
            <w:vAlign w:val="center"/>
          </w:tcPr>
          <w:p>
            <w:pPr>
              <w:jc w:val="center"/>
            </w:pPr>
            <w:r>
              <w:t>Age</w:t>
            </w:r>
          </w:p>
        </w:tc>
        <w:tc>
          <w:tcPr>
            <w:tcW w:w="5952" w:type="dxa"/>
            <w:gridSpan w:val="4"/>
            <w:vAlign w:val="center"/>
          </w:tcPr>
          <w:p>
            <w:r>
              <w:t>Under 50 for officials at the Director-General level; under 45 for officials at the Director level</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Health</w:t>
            </w:r>
          </w:p>
        </w:tc>
        <w:tc>
          <w:tcPr>
            <w:tcW w:w="5952" w:type="dxa"/>
            <w:gridSpan w:val="4"/>
            <w:vAlign w:val="center"/>
          </w:tcPr>
          <w:p>
            <w:pPr>
              <w:rPr>
                <w:lang w:eastAsia="zh-Hans"/>
              </w:rPr>
            </w:pPr>
            <w:r>
              <w:rPr>
                <w:szCs w:val="21"/>
              </w:rPr>
              <w:t>Participants should be in good health, and provide a health certificate or medical examination form issued by a local public hospital. Participants should be free of diseases prohibited by Chinese laws and regulations to enter the country, free of other serious chronic diseases such as severe hypertension, cardiovascular and cerebrovascular diseases, and diabetes, mental diseases or infectious diseases that may pose a significant public health risk, not in the period of recovering from major surgery or acute illness, not severely physically disabled nor pregnant.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Language</w:t>
            </w:r>
          </w:p>
        </w:tc>
        <w:tc>
          <w:tcPr>
            <w:tcW w:w="5952" w:type="dxa"/>
            <w:gridSpan w:val="4"/>
            <w:vAlign w:val="center"/>
          </w:tcPr>
          <w:p>
            <w:pPr>
              <w:jc w:val="left"/>
            </w:pPr>
            <w:r>
              <w:rPr>
                <w:lang w:eastAsia="zh-Hans"/>
              </w:rPr>
              <w:t>Participants should be capable of listening, speaking, reading and writing in English that can meet the requirements of the class.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Others</w:t>
            </w:r>
          </w:p>
        </w:tc>
        <w:tc>
          <w:tcPr>
            <w:tcW w:w="5952" w:type="dxa"/>
            <w:gridSpan w:val="4"/>
            <w:vAlign w:val="center"/>
          </w:tcPr>
          <w:p>
            <w:r>
              <w:rPr>
                <w:kern w:val="0"/>
                <w:szCs w:val="21"/>
              </w:rPr>
              <w:t>Family members or friends shall not follow</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Host City</w:t>
            </w:r>
          </w:p>
        </w:tc>
        <w:tc>
          <w:tcPr>
            <w:tcW w:w="2158" w:type="dxa"/>
            <w:vAlign w:val="center"/>
          </w:tcPr>
          <w:p>
            <w:pPr>
              <w:jc w:val="center"/>
            </w:pPr>
            <w:r>
              <w:t>C</w:t>
            </w:r>
            <w:r>
              <w:rPr>
                <w:rFonts w:hint="eastAsia"/>
              </w:rPr>
              <w:t>hengdu</w:t>
            </w:r>
          </w:p>
        </w:tc>
        <w:tc>
          <w:tcPr>
            <w:tcW w:w="2557" w:type="dxa"/>
            <w:gridSpan w:val="2"/>
            <w:vAlign w:val="center"/>
          </w:tcPr>
          <w:p>
            <w:pPr>
              <w:jc w:val="center"/>
            </w:pPr>
            <w:r>
              <w:t>Local Temperature</w:t>
            </w:r>
          </w:p>
        </w:tc>
        <w:tc>
          <w:tcPr>
            <w:tcW w:w="3395" w:type="dxa"/>
            <w:gridSpan w:val="2"/>
            <w:vAlign w:val="center"/>
          </w:tcPr>
          <w:p>
            <w:r>
              <w:t xml:space="preserve">Average temperature: 28°C </w:t>
            </w:r>
            <w:r>
              <w:rPr>
                <w:szCs w:val="21"/>
              </w:rPr>
              <w:t>-</w:t>
            </w:r>
            <w:r>
              <w:t xml:space="preserve"> 34°C</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Cities to Visit</w:t>
            </w:r>
          </w:p>
        </w:tc>
        <w:tc>
          <w:tcPr>
            <w:tcW w:w="2158" w:type="dxa"/>
            <w:vAlign w:val="center"/>
          </w:tcPr>
          <w:p>
            <w:pPr>
              <w:jc w:val="center"/>
            </w:pPr>
            <w:r>
              <w:rPr>
                <w:szCs w:val="21"/>
              </w:rPr>
              <w:t>P</w:t>
            </w:r>
            <w:r>
              <w:rPr>
                <w:rFonts w:hint="eastAsia"/>
                <w:szCs w:val="21"/>
              </w:rPr>
              <w:t>ending</w:t>
            </w:r>
          </w:p>
        </w:tc>
        <w:tc>
          <w:tcPr>
            <w:tcW w:w="2557" w:type="dxa"/>
            <w:gridSpan w:val="2"/>
            <w:vAlign w:val="center"/>
          </w:tcPr>
          <w:p>
            <w:pPr>
              <w:jc w:val="center"/>
            </w:pPr>
            <w:r>
              <w:t>Local Temperature</w:t>
            </w:r>
          </w:p>
        </w:tc>
        <w:tc>
          <w:tcPr>
            <w:tcW w:w="3395" w:type="dxa"/>
            <w:gridSpan w:val="2"/>
            <w:vAlign w:val="center"/>
          </w:tcPr>
          <w:p>
            <w:pPr>
              <w:rPr>
                <w:szCs w:val="21"/>
              </w:rPr>
            </w:pPr>
            <w:r>
              <w:t xml:space="preserve">Average temperature: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Notes</w:t>
            </w:r>
          </w:p>
        </w:tc>
        <w:tc>
          <w:tcPr>
            <w:tcW w:w="8110" w:type="dxa"/>
            <w:gridSpan w:val="5"/>
          </w:tcPr>
          <w:p>
            <w:pPr>
              <w:jc w:val="center"/>
            </w:pPr>
            <w: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restart"/>
            <w:vAlign w:val="center"/>
          </w:tcPr>
          <w:p>
            <w:pPr>
              <w:jc w:val="center"/>
            </w:pPr>
            <w:r>
              <w:t>Contact of the Organizer</w:t>
            </w:r>
          </w:p>
        </w:tc>
        <w:tc>
          <w:tcPr>
            <w:tcW w:w="2158" w:type="dxa"/>
            <w:vAlign w:val="center"/>
          </w:tcPr>
          <w:p>
            <w:pPr>
              <w:jc w:val="center"/>
            </w:pPr>
            <w:r>
              <w:t>Contact Person(s)</w:t>
            </w:r>
          </w:p>
        </w:tc>
        <w:tc>
          <w:tcPr>
            <w:tcW w:w="5952" w:type="dxa"/>
            <w:gridSpan w:val="4"/>
            <w:vAlign w:val="center"/>
          </w:tcPr>
          <w:p>
            <w:pPr>
              <w:jc w:val="center"/>
            </w:pPr>
            <w:r>
              <w:t>Ms. WEI Chunyu</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Telephone</w:t>
            </w:r>
          </w:p>
        </w:tc>
        <w:tc>
          <w:tcPr>
            <w:tcW w:w="5952" w:type="dxa"/>
            <w:gridSpan w:val="4"/>
            <w:vAlign w:val="center"/>
          </w:tcPr>
          <w:p>
            <w:pPr>
              <w:jc w:val="center"/>
            </w:pPr>
            <w:r>
              <w:t>0086-28-86446395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Cell</w:t>
            </w:r>
          </w:p>
        </w:tc>
        <w:tc>
          <w:tcPr>
            <w:tcW w:w="5952" w:type="dxa"/>
            <w:gridSpan w:val="4"/>
            <w:vAlign w:val="center"/>
          </w:tcPr>
          <w:p>
            <w:pPr>
              <w:jc w:val="center"/>
            </w:pPr>
            <w:r>
              <w:t>0086-17380684218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Fax</w:t>
            </w:r>
          </w:p>
        </w:tc>
        <w:tc>
          <w:tcPr>
            <w:tcW w:w="5952" w:type="dxa"/>
            <w:gridSpan w:val="4"/>
            <w:vAlign w:val="center"/>
          </w:tcPr>
          <w:p>
            <w:pPr>
              <w:jc w:val="center"/>
            </w:pPr>
            <w:r>
              <w:t>0086-28-86446395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rPr>
                <w:rFonts w:hint="eastAsia"/>
              </w:rPr>
              <w:t>E-mail</w:t>
            </w:r>
          </w:p>
        </w:tc>
        <w:tc>
          <w:tcPr>
            <w:tcW w:w="5952" w:type="dxa"/>
            <w:gridSpan w:val="4"/>
            <w:vAlign w:val="center"/>
          </w:tcPr>
          <w:p>
            <w:pPr>
              <w:jc w:val="center"/>
            </w:pPr>
            <w:r>
              <w:t>near_wei@163.com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Merge w:val="continue"/>
            <w:vAlign w:val="center"/>
          </w:tcPr>
          <w:p>
            <w:pPr>
              <w:jc w:val="center"/>
            </w:pPr>
          </w:p>
        </w:tc>
        <w:tc>
          <w:tcPr>
            <w:tcW w:w="2158" w:type="dxa"/>
            <w:vAlign w:val="center"/>
          </w:tcPr>
          <w:p>
            <w:pPr>
              <w:jc w:val="center"/>
            </w:pPr>
            <w:r>
              <w:t>Address</w:t>
            </w:r>
          </w:p>
        </w:tc>
        <w:tc>
          <w:tcPr>
            <w:tcW w:w="5952" w:type="dxa"/>
            <w:gridSpan w:val="4"/>
            <w:vAlign w:val="center"/>
          </w:tcPr>
          <w:p>
            <w:pPr>
              <w:jc w:val="left"/>
            </w:pPr>
            <w:r>
              <w:t>No.3 Tongjin Road</w:t>
            </w:r>
            <w:r>
              <w:rPr>
                <w:rFonts w:hint="eastAsia"/>
              </w:rPr>
              <w:t>,</w:t>
            </w:r>
            <w:r>
              <w:t xml:space="preserve"> Jinniu District, Chengdu, Sichuan, China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About the Organizer</w:t>
            </w:r>
          </w:p>
        </w:tc>
        <w:tc>
          <w:tcPr>
            <w:tcW w:w="8110" w:type="dxa"/>
            <w:gridSpan w:val="5"/>
          </w:tcPr>
          <w:p>
            <w:pPr>
              <w:ind w:firstLine="422" w:firstLineChars="200"/>
            </w:pPr>
            <w:r>
              <w:rPr>
                <w:b/>
                <w:bCs/>
                <w:i/>
                <w:iCs/>
              </w:rPr>
              <w:t xml:space="preserve">The Academy for International Business Officials (AIBO) </w:t>
            </w:r>
            <w:r>
              <w:t>is an educational and training institution directly under the Ministry of Commerce of the People's Republic of China. Established in 1980, AIBO is located in Changping District, Beijing, about 30 kilometers from Beijing Capital International Airport. It boasts comprehensive infrastructure to provide services such as accommodation, catering, training and meetings for trainees.</w:t>
            </w:r>
          </w:p>
          <w:p>
            <w:pPr>
              <w:ind w:firstLine="420" w:firstLineChars="200"/>
            </w:pPr>
            <w:r>
              <w:t>One of the main responsibilities of AIBO is to implement human resources development and cooperation projects, especially training courses for officials. The Academy serves as the main base for China's foreign aid training, offering both off-line and on-line training in China and overseas.</w:t>
            </w:r>
          </w:p>
          <w:p>
            <w:pPr>
              <w:ind w:firstLine="420" w:firstLineChars="200"/>
            </w:pPr>
            <w:r>
              <w:t>Backed by the Ministry of Commerce and in close cooperation with China's top think tanks, research institutes and universities, AIBO brings together a large number of China's top experts and scholars to provide intellectual support for foreign aid training. It has developed a number of high-quality foreign aid training projects in the fields of trade and investment, international economic cooperation, governance and public management, which have proved to be fruitful.</w:t>
            </w:r>
          </w:p>
          <w:p>
            <w:pPr>
              <w:ind w:firstLine="420" w:firstLineChars="200"/>
            </w:pPr>
            <w:r>
              <w:t>Since 1998, AIBO has successfully held over 2,</w:t>
            </w:r>
            <w:r>
              <w:rPr>
                <w:rFonts w:hint="eastAsia"/>
              </w:rPr>
              <w:t>500</w:t>
            </w:r>
            <w:r>
              <w:t xml:space="preserve"> training sessions for officials from developing countries (including </w:t>
            </w:r>
            <w:r>
              <w:rPr>
                <w:rFonts w:hint="eastAsia"/>
              </w:rPr>
              <w:t>147</w:t>
            </w:r>
            <w:r>
              <w:t xml:space="preserve"> ministerial seminars), benefiting </w:t>
            </w:r>
            <w:r>
              <w:rPr>
                <w:rFonts w:hint="eastAsia"/>
              </w:rPr>
              <w:t>over</w:t>
            </w:r>
            <w:r>
              <w:t xml:space="preserve"> </w:t>
            </w:r>
            <w:r>
              <w:rPr>
                <w:rFonts w:hint="eastAsia"/>
              </w:rPr>
              <w:t>84</w:t>
            </w:r>
            <w:r>
              <w:t>,000 trainees from other developing countries around the world.</w:t>
            </w:r>
          </w:p>
          <w:p>
            <w:pPr>
              <w:ind w:firstLine="420" w:firstLineChars="200"/>
            </w:pPr>
            <w:r>
              <w:t>AIBO will adhere to the guidance of Xi Jinping Thought on Socialism with Chinese Characteristics for a New Era, and take the important concepts, including a community with a shared future for mankind, pursuing the greater good and shared interests, and sincerity, real results, amity, good faith, mutual benefit and inclusiveness, as strategic guidance and fundamental principles to be followed. It will facilitate the joint efforts in implementing major initiatives such as the Belt and Road Initiative (BRI) and the Global Development Initiative (GDI), and continue to help developing countries accelerate their development by sharing China's experience and programs.</w:t>
            </w:r>
          </w:p>
          <w:p>
            <w:pPr>
              <w:spacing w:line="276" w:lineRule="auto"/>
              <w:ind w:firstLine="422" w:firstLineChars="200"/>
              <w:rPr>
                <w:szCs w:val="21"/>
              </w:rPr>
            </w:pPr>
            <w:r>
              <w:rPr>
                <w:b/>
                <w:i/>
                <w:kern w:val="10"/>
                <w:szCs w:val="21"/>
              </w:rPr>
              <w:t xml:space="preserve">China Railway Eryuan Engineering Group Co.Ltd </w:t>
            </w:r>
            <w:r>
              <w:rPr>
                <w:rFonts w:hint="eastAsia"/>
                <w:szCs w:val="21"/>
              </w:rPr>
              <w:t>(</w:t>
            </w:r>
            <w:r>
              <w:rPr>
                <w:szCs w:val="21"/>
              </w:rPr>
              <w:t>CREEC</w:t>
            </w:r>
            <w:r>
              <w:rPr>
                <w:rFonts w:hint="eastAsia"/>
                <w:szCs w:val="21"/>
              </w:rPr>
              <w:t>)</w:t>
            </w:r>
            <w:r>
              <w:rPr>
                <w:szCs w:val="21"/>
              </w:rPr>
              <w:t xml:space="preserve">, founded in 1952, is </w:t>
            </w:r>
            <w:r>
              <w:rPr>
                <w:rFonts w:hint="eastAsia"/>
                <w:szCs w:val="21"/>
              </w:rPr>
              <w:t>subordinated to China Railway Group Limited (CREC), which is one of the Fortune 500 Corporations and one of the Most Influential 500 World Brands</w:t>
            </w:r>
            <w:r>
              <w:rPr>
                <w:szCs w:val="21"/>
              </w:rPr>
              <w:t xml:space="preserve">. CREEC is </w:t>
            </w:r>
            <w:r>
              <w:rPr>
                <w:rFonts w:hint="eastAsia"/>
                <w:szCs w:val="21"/>
              </w:rPr>
              <w:t xml:space="preserve">one of </w:t>
            </w:r>
            <w:r>
              <w:rPr>
                <w:szCs w:val="21"/>
              </w:rPr>
              <w:t>the</w:t>
            </w:r>
            <w:r>
              <w:rPr>
                <w:rFonts w:hint="eastAsia"/>
                <w:szCs w:val="21"/>
              </w:rPr>
              <w:t xml:space="preserve"> huge</w:t>
            </w:r>
            <w:r>
              <w:rPr>
                <w:szCs w:val="21"/>
              </w:rPr>
              <w:t>st</w:t>
            </w:r>
            <w:r>
              <w:rPr>
                <w:rFonts w:hint="eastAsia"/>
                <w:szCs w:val="21"/>
              </w:rPr>
              <w:t>-scale</w:t>
            </w:r>
            <w:r>
              <w:rPr>
                <w:szCs w:val="21"/>
              </w:rPr>
              <w:t xml:space="preserve"> comprehensive engineering survey &amp; design corporation</w:t>
            </w:r>
            <w:r>
              <w:rPr>
                <w:rFonts w:hint="eastAsia"/>
                <w:szCs w:val="21"/>
              </w:rPr>
              <w:t>s</w:t>
            </w:r>
            <w:r>
              <w:rPr>
                <w:szCs w:val="21"/>
              </w:rPr>
              <w:t xml:space="preserve"> in China which has won the highest National Scientific and Technological Progress Award twice</w:t>
            </w:r>
            <w:r>
              <w:rPr>
                <w:rFonts w:hint="eastAsia"/>
                <w:szCs w:val="21"/>
              </w:rPr>
              <w:t>,</w:t>
            </w:r>
            <w:r>
              <w:rPr>
                <w:szCs w:val="21"/>
              </w:rPr>
              <w:t xml:space="preserve"> and FIDIC Award of Excellence </w:t>
            </w:r>
            <w:r>
              <w:rPr>
                <w:rFonts w:hint="eastAsia"/>
                <w:szCs w:val="21"/>
              </w:rPr>
              <w:t>f</w:t>
            </w:r>
            <w:r>
              <w:rPr>
                <w:szCs w:val="21"/>
              </w:rPr>
              <w:t xml:space="preserve">or </w:t>
            </w:r>
            <w:r>
              <w:rPr>
                <w:rFonts w:hint="eastAsia"/>
                <w:szCs w:val="21"/>
              </w:rPr>
              <w:t>six</w:t>
            </w:r>
            <w:r>
              <w:rPr>
                <w:szCs w:val="21"/>
              </w:rPr>
              <w:t xml:space="preserve"> times. I</w:t>
            </w:r>
            <w:r>
              <w:rPr>
                <w:rFonts w:hint="eastAsia"/>
                <w:szCs w:val="21"/>
              </w:rPr>
              <w:t>ts</w:t>
            </w:r>
            <w:r>
              <w:rPr>
                <w:szCs w:val="21"/>
              </w:rPr>
              <w:t xml:space="preserve"> businesses scope covers the whole process of engineering construction, including planning, survey and design, consulting, supervising, EPC</w:t>
            </w:r>
            <w:r>
              <w:rPr>
                <w:rFonts w:hint="eastAsia"/>
                <w:szCs w:val="21"/>
              </w:rPr>
              <w:t>,</w:t>
            </w:r>
            <w:r>
              <w:rPr>
                <w:szCs w:val="21"/>
              </w:rPr>
              <w:t xml:space="preserve"> product industrialization</w:t>
            </w:r>
            <w:r>
              <w:rPr>
                <w:rFonts w:hint="eastAsia"/>
                <w:szCs w:val="21"/>
              </w:rPr>
              <w:t xml:space="preserve"> and international education</w:t>
            </w:r>
            <w:r>
              <w:rPr>
                <w:szCs w:val="21"/>
              </w:rPr>
              <w:t xml:space="preserve">, etc. It provides services in many fields: railway, urban rail transit, highway, municipal works, port, civil aviation airport, ecology and environment, etc. </w:t>
            </w:r>
          </w:p>
          <w:p>
            <w:pPr>
              <w:spacing w:line="276" w:lineRule="auto"/>
              <w:ind w:firstLine="420" w:firstLineChars="200"/>
              <w:rPr>
                <w:szCs w:val="21"/>
              </w:rPr>
            </w:pPr>
            <w:r>
              <w:rPr>
                <w:szCs w:val="21"/>
              </w:rPr>
              <w:t xml:space="preserve">CREEC is the absolute core design force of the national railway network. Among </w:t>
            </w:r>
            <w:r>
              <w:rPr>
                <w:rFonts w:hint="eastAsia"/>
                <w:szCs w:val="21"/>
              </w:rPr>
              <w:t>the</w:t>
            </w:r>
            <w:r>
              <w:rPr>
                <w:szCs w:val="21"/>
              </w:rPr>
              <w:t xml:space="preserve"> railway projects it has presided over or participated in, over 39,500 km have been completed and opened to traffic, including nearly 13,900 km of high-speed railways (HSR). It has presided over or participated in the survey and design general contracting, engineering design and design consulting services for more than 250 urban rail transit projects in more than 50 cities, including Beijing, Shanghai, Guangzhou, Shenzhen, Chengdu, Chongqing and more.</w:t>
            </w:r>
            <w:r>
              <w:t xml:space="preserve"> </w:t>
            </w:r>
            <w:r>
              <w:rPr>
                <w:szCs w:val="21"/>
              </w:rPr>
              <w:t>Among them, more than 3,300 km have been completed and opened to traffic.</w:t>
            </w:r>
            <w:r>
              <w:rPr>
                <w:rFonts w:hint="eastAsia"/>
                <w:szCs w:val="21"/>
              </w:rPr>
              <w:t xml:space="preserve"> </w:t>
            </w:r>
            <w:r>
              <w:rPr>
                <w:szCs w:val="21"/>
              </w:rPr>
              <w:t xml:space="preserve">As one of the first batch of domestic design enterprises to expand overseas, CREEC has undertaken more than </w:t>
            </w:r>
            <w:r>
              <w:rPr>
                <w:rFonts w:hint="eastAsia"/>
                <w:szCs w:val="21"/>
              </w:rPr>
              <w:t>300</w:t>
            </w:r>
            <w:r>
              <w:rPr>
                <w:szCs w:val="21"/>
              </w:rPr>
              <w:t xml:space="preserve"> projects in more than </w:t>
            </w:r>
            <w:r>
              <w:rPr>
                <w:rFonts w:hint="eastAsia"/>
                <w:szCs w:val="21"/>
              </w:rPr>
              <w:t>70</w:t>
            </w:r>
            <w:r>
              <w:rPr>
                <w:szCs w:val="21"/>
              </w:rPr>
              <w:t xml:space="preserve"> countries</w:t>
            </w:r>
            <w:r>
              <w:rPr>
                <w:rFonts w:hint="eastAsia"/>
                <w:szCs w:val="21"/>
              </w:rPr>
              <w:t xml:space="preserve"> and areas </w:t>
            </w:r>
            <w:r>
              <w:rPr>
                <w:szCs w:val="21"/>
              </w:rPr>
              <w:t xml:space="preserve">in Asia, Africa, South America, and Oceania. It plays an important role in the construction of six economic corridors of the Belt and Road, with projects covering almost all B&amp;R countries. </w:t>
            </w:r>
          </w:p>
          <w:p>
            <w:pPr>
              <w:ind w:firstLine="420" w:firstLineChars="200"/>
            </w:pPr>
            <w:r>
              <w:rPr>
                <w:szCs w:val="21"/>
              </w:rPr>
              <w:t>CREEC has been focusing on fostering high-level, urgently-needed professional and technical personnel in comprehensive transportation through great effort in international education and training. It cultivates management personnel and technical talents for comprehensive transportation project life cycle, from planning and design to operation and maintenance, with its strong faculty, sound management institution, ample experience, self-contained facilities, and competitive "industry-university-research" collaborative innovation capability. To better serve the One Belt One Road and advance interconnectivity, CREEC has completed international education and training for more than 2,</w:t>
            </w:r>
            <w:r>
              <w:rPr>
                <w:rFonts w:hint="eastAsia"/>
                <w:szCs w:val="21"/>
              </w:rPr>
              <w:t>900</w:t>
            </w:r>
            <w:r>
              <w:rPr>
                <w:szCs w:val="21"/>
              </w:rPr>
              <w:t xml:space="preserve"> people from </w:t>
            </w:r>
            <w:r>
              <w:rPr>
                <w:rFonts w:hint="eastAsia"/>
                <w:szCs w:val="21"/>
              </w:rPr>
              <w:t>over</w:t>
            </w:r>
            <w:r>
              <w:rPr>
                <w:szCs w:val="21"/>
              </w:rPr>
              <w:t xml:space="preserve"> 110 countries and regions in recent years.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jc w:val="center"/>
            </w:pPr>
            <w:r>
              <w:t>About the Project</w:t>
            </w:r>
          </w:p>
        </w:tc>
        <w:tc>
          <w:tcPr>
            <w:tcW w:w="8110" w:type="dxa"/>
            <w:gridSpan w:val="5"/>
            <w:vAlign w:val="center"/>
          </w:tcPr>
          <w:p>
            <w:pPr>
              <w:ind w:firstLine="422" w:firstLineChars="200"/>
              <w:rPr>
                <w:szCs w:val="21"/>
              </w:rPr>
            </w:pPr>
            <w:r>
              <w:rPr>
                <w:b/>
                <w:bCs/>
                <w:szCs w:val="21"/>
              </w:rPr>
              <w:t xml:space="preserve">Background: </w:t>
            </w:r>
            <w:r>
              <w:rPr>
                <w:szCs w:val="21"/>
              </w:rPr>
              <w:t>At present, global sustainable development and climate change response have become core challenges for developing countries. As a key carrier connecting urban and rural areas and linking industries, the ecological and environmental protection as well as the green and low-carbon level of integrated transportation directly affect national modernization progress and climate action outcomes.</w:t>
            </w:r>
          </w:p>
          <w:p>
            <w:pPr>
              <w:ind w:firstLine="422" w:firstLineChars="200"/>
              <w:rPr>
                <w:szCs w:val="21"/>
              </w:rPr>
            </w:pPr>
            <w:r>
              <w:rPr>
                <w:b/>
                <w:bCs/>
                <w:szCs w:val="21"/>
              </w:rPr>
              <w:t xml:space="preserve">Purpose: </w:t>
            </w:r>
            <w:r>
              <w:rPr>
                <w:szCs w:val="21"/>
              </w:rPr>
              <w:t>This seminar aims to share China's experience and practical cases in the field of ecological and environmental protection and green low-carbon development of transportation, establish an international cooperation platform for policy dialogue, technical exchange, and capacity building, and help developing countries enhance their green transportation management capabilities, promoting regional connectivity and sustainable development.</w:t>
            </w:r>
          </w:p>
          <w:p>
            <w:pPr>
              <w:ind w:firstLine="422" w:firstLineChars="200"/>
              <w:rPr>
                <w:b/>
                <w:bCs/>
                <w:szCs w:val="21"/>
              </w:rPr>
            </w:pPr>
            <w:r>
              <w:rPr>
                <w:b/>
                <w:bCs/>
                <w:szCs w:val="21"/>
              </w:rPr>
              <w:t xml:space="preserve">Content: </w:t>
            </w:r>
          </w:p>
          <w:p>
            <w:pPr>
              <w:ind w:firstLine="422" w:firstLineChars="200"/>
              <w:rPr>
                <w:b/>
                <w:bCs/>
                <w:szCs w:val="21"/>
              </w:rPr>
            </w:pPr>
            <w:r>
              <w:rPr>
                <w:b/>
                <w:bCs/>
                <w:szCs w:val="21"/>
              </w:rPr>
              <w:t>1.Main training courses and content</w:t>
            </w:r>
          </w:p>
          <w:p>
            <w:pPr>
              <w:widowControl/>
              <w:numPr>
                <w:ilvl w:val="255"/>
                <w:numId w:val="0"/>
              </w:numPr>
              <w:ind w:firstLine="420" w:firstLineChars="200"/>
              <w:rPr>
                <w:szCs w:val="21"/>
              </w:rPr>
            </w:pPr>
            <w:r>
              <w:rPr>
                <w:rFonts w:hint="eastAsia"/>
                <w:szCs w:val="21"/>
              </w:rPr>
              <w:t xml:space="preserve">（1）General course: China's </w:t>
            </w:r>
            <w:r>
              <w:rPr>
                <w:szCs w:val="21"/>
              </w:rPr>
              <w:t xml:space="preserve">National Conditions (including </w:t>
            </w:r>
            <w:r>
              <w:rPr>
                <w:rFonts w:hint="eastAsia"/>
                <w:szCs w:val="21"/>
              </w:rPr>
              <w:t xml:space="preserve">Belt and Road </w:t>
            </w:r>
            <w:r>
              <w:rPr>
                <w:szCs w:val="21"/>
              </w:rPr>
              <w:t>I</w:t>
            </w:r>
            <w:r>
              <w:rPr>
                <w:rFonts w:hint="eastAsia"/>
                <w:szCs w:val="21"/>
              </w:rPr>
              <w:t xml:space="preserve">nitiative and </w:t>
            </w:r>
            <w:r>
              <w:rPr>
                <w:szCs w:val="21"/>
              </w:rPr>
              <w:t>I</w:t>
            </w:r>
            <w:r>
              <w:rPr>
                <w:rFonts w:hint="eastAsia"/>
                <w:szCs w:val="21"/>
              </w:rPr>
              <w:t xml:space="preserve">mplementation </w:t>
            </w:r>
            <w:r>
              <w:rPr>
                <w:szCs w:val="21"/>
              </w:rPr>
              <w:t>M</w:t>
            </w:r>
            <w:r>
              <w:rPr>
                <w:rFonts w:hint="eastAsia"/>
                <w:szCs w:val="21"/>
              </w:rPr>
              <w:t>easures;</w:t>
            </w:r>
            <w:r>
              <w:rPr>
                <w:szCs w:val="21"/>
              </w:rPr>
              <w:t xml:space="preserve"> Xi J</w:t>
            </w:r>
            <w:r>
              <w:rPr>
                <w:rFonts w:hint="eastAsia"/>
                <w:szCs w:val="21"/>
              </w:rPr>
              <w:t>inping</w:t>
            </w:r>
            <w:r>
              <w:rPr>
                <w:szCs w:val="21"/>
              </w:rPr>
              <w:t xml:space="preserve"> and his governance of China)</w:t>
            </w:r>
          </w:p>
          <w:p>
            <w:pPr>
              <w:rPr>
                <w:szCs w:val="21"/>
              </w:rPr>
            </w:pPr>
            <w:r>
              <w:rPr>
                <w:rFonts w:hint="eastAsia"/>
                <w:szCs w:val="21"/>
              </w:rPr>
              <w:t xml:space="preserve">（2）Professional course: </w:t>
            </w:r>
            <w:r>
              <w:rPr>
                <w:szCs w:val="21"/>
              </w:rPr>
              <w:t xml:space="preserve">China's Green </w:t>
            </w:r>
            <w:r>
              <w:rPr>
                <w:rFonts w:hint="eastAsia"/>
                <w:szCs w:val="21"/>
              </w:rPr>
              <w:t>a</w:t>
            </w:r>
            <w:r>
              <w:rPr>
                <w:szCs w:val="21"/>
              </w:rPr>
              <w:t xml:space="preserve">nd Low-Carbon Policies, Ecological Governance </w:t>
            </w:r>
            <w:r>
              <w:rPr>
                <w:rFonts w:hint="eastAsia"/>
                <w:szCs w:val="21"/>
              </w:rPr>
              <w:t>a</w:t>
            </w:r>
            <w:r>
              <w:rPr>
                <w:szCs w:val="21"/>
              </w:rPr>
              <w:t xml:space="preserve">nd Restoration, Ecological and Environmental Protection Case Studies — The Sichuan-Qinghai Railway Line, Comprehensive Utilization </w:t>
            </w:r>
            <w:r>
              <w:rPr>
                <w:rFonts w:hint="eastAsia"/>
                <w:szCs w:val="21"/>
              </w:rPr>
              <w:t>o</w:t>
            </w:r>
            <w:r>
              <w:rPr>
                <w:szCs w:val="21"/>
              </w:rPr>
              <w:t xml:space="preserve">f Engineering Waste Slag, and Green Transportation Infrastructure Construction Practices — Case Study </w:t>
            </w:r>
            <w:r>
              <w:rPr>
                <w:rFonts w:hint="eastAsia"/>
                <w:szCs w:val="21"/>
              </w:rPr>
              <w:t>o</w:t>
            </w:r>
            <w:r>
              <w:rPr>
                <w:szCs w:val="21"/>
              </w:rPr>
              <w:t xml:space="preserve">f Elephant Corridors and Ecological Corridor Protection </w:t>
            </w:r>
            <w:r>
              <w:rPr>
                <w:rFonts w:hint="eastAsia"/>
                <w:szCs w:val="21"/>
              </w:rPr>
              <w:t>i</w:t>
            </w:r>
            <w:r>
              <w:rPr>
                <w:szCs w:val="21"/>
              </w:rPr>
              <w:t>n Bangladesh, etc.</w:t>
            </w:r>
          </w:p>
          <w:p>
            <w:pPr>
              <w:ind w:firstLine="420" w:firstLineChars="200"/>
              <w:rPr>
                <w:szCs w:val="21"/>
              </w:rPr>
            </w:pPr>
            <w:r>
              <w:rPr>
                <w:rFonts w:hint="eastAsia"/>
                <w:szCs w:val="21"/>
              </w:rPr>
              <w:t>（3）O</w:t>
            </w:r>
            <w:r>
              <w:rPr>
                <w:szCs w:val="21"/>
              </w:rPr>
              <w:t>n-site instruction</w:t>
            </w:r>
            <w:r>
              <w:rPr>
                <w:rFonts w:hint="eastAsia"/>
                <w:szCs w:val="21"/>
              </w:rPr>
              <w:t xml:space="preserve"> and site</w:t>
            </w:r>
            <w:r>
              <w:rPr>
                <w:szCs w:val="21"/>
              </w:rPr>
              <w:t xml:space="preserve"> visits</w:t>
            </w:r>
            <w:r>
              <w:rPr>
                <w:rFonts w:hint="eastAsia"/>
                <w:szCs w:val="21"/>
              </w:rPr>
              <w:t xml:space="preserve">; </w:t>
            </w:r>
            <w:r>
              <w:rPr>
                <w:szCs w:val="21"/>
              </w:rPr>
              <w:t xml:space="preserve">Through on-site instruction and site visits, the participants will have a deep understanding of China's ecological environmental protection and green low-carbon development of transportation. Conduct </w:t>
            </w:r>
            <w:r>
              <w:rPr>
                <w:rFonts w:hint="eastAsia"/>
                <w:szCs w:val="21"/>
              </w:rPr>
              <w:t>site</w:t>
            </w:r>
            <w:r>
              <w:rPr>
                <w:szCs w:val="21"/>
              </w:rPr>
              <w:t xml:space="preserve"> visits at demonstration sites for ecological and environmental protection in transportation. The seminar also invites participants from various countries to combine the actual situation in their own countries with the survey and design enterprises to carry out seminars and exchanges.</w:t>
            </w:r>
          </w:p>
          <w:p>
            <w:pPr>
              <w:ind w:firstLine="420" w:firstLineChars="200"/>
              <w:rPr>
                <w:szCs w:val="21"/>
              </w:rPr>
            </w:pPr>
            <w:r>
              <w:rPr>
                <w:rFonts w:hint="eastAsia"/>
                <w:szCs w:val="21"/>
              </w:rPr>
              <w:t>（4）Tours</w:t>
            </w:r>
            <w:r>
              <w:rPr>
                <w:szCs w:val="21"/>
              </w:rPr>
              <w:t xml:space="preserve">: Cultural visits, city construction visits, official visits to </w:t>
            </w:r>
            <w:r>
              <w:rPr>
                <w:rFonts w:hint="eastAsia"/>
                <w:szCs w:val="21"/>
              </w:rPr>
              <w:t>transport</w:t>
            </w:r>
            <w:r>
              <w:rPr>
                <w:szCs w:val="21"/>
              </w:rPr>
              <w:t xml:space="preserve"> enterprises in Chengdu and visiting cities.</w:t>
            </w:r>
          </w:p>
          <w:p>
            <w:pPr>
              <w:ind w:firstLine="422" w:firstLineChars="200"/>
              <w:rPr>
                <w:b/>
                <w:bCs/>
                <w:szCs w:val="21"/>
              </w:rPr>
            </w:pPr>
            <w:r>
              <w:rPr>
                <w:b/>
                <w:bCs/>
                <w:szCs w:val="21"/>
              </w:rPr>
              <w:t>2. Materials that participants need to prepare</w:t>
            </w:r>
          </w:p>
          <w:p>
            <w:pPr>
              <w:ind w:firstLine="420" w:firstLineChars="200"/>
              <w:rPr>
                <w:szCs w:val="21"/>
              </w:rPr>
            </w:pPr>
            <w:r>
              <w:rPr>
                <w:szCs w:val="21"/>
              </w:rPr>
              <w:t>In order to facilitate discussions and exchanges with Chinese officials/ experts/ entrepreneurs, please prepare the exchange materials related to the topics of your country, such as: (1) Basic conditions: current status of ecological and environmental protection and green low-carbon development in transportation; policy direction and development of large-scale, modernized ecological and environmental protection; (2) Cooperation with China in the field of green and low-carbon development, etc.; (3) Current status and challenges of green and low-carbon development in the country's transportation industry.</w:t>
            </w:r>
          </w:p>
          <w:p>
            <w:pPr>
              <w:ind w:firstLine="422" w:firstLineChars="200"/>
              <w:rPr>
                <w:szCs w:val="21"/>
              </w:rPr>
            </w:pPr>
            <w:r>
              <w:rPr>
                <w:b/>
                <w:bCs/>
                <w:szCs w:val="21"/>
              </w:rPr>
              <w:t xml:space="preserve">Methods: </w:t>
            </w:r>
            <w:r>
              <w:rPr>
                <w:szCs w:val="21"/>
              </w:rPr>
              <w:t>Invite officials, experts and scholars in relevant fields to give special lectures on different themes; organize discussions and exchanges between trainees and experts and among trainees; organize trainees to pay field-visit to relevant organizations and enterprises in Beijing and other cities</w:t>
            </w:r>
            <w:r>
              <w:rPr>
                <w:rFonts w:hint="eastAsia"/>
                <w:szCs w:val="21"/>
              </w:rPr>
              <w:t xml:space="preserve"> in comprehensive transport field</w:t>
            </w:r>
            <w:r>
              <w:rPr>
                <w:szCs w:val="21"/>
              </w:rPr>
              <w:t>.</w:t>
            </w:r>
          </w:p>
          <w:p>
            <w:pPr>
              <w:ind w:firstLine="420" w:firstLineChars="200"/>
              <w:rPr>
                <w:szCs w:val="21"/>
              </w:rPr>
            </w:pPr>
            <w:r>
              <w:rPr>
                <w:szCs w:val="21"/>
              </w:rPr>
              <w:t>(The above is the preliminary schedule, which may be adjusted according to the actual situation, and the final version will be provided upon arrival in China.)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646" w:type="dxa"/>
            <w:vAlign w:val="center"/>
          </w:tcPr>
          <w:p>
            <w:pPr>
              <w:ind w:firstLine="210" w:firstLineChars="100"/>
            </w:pPr>
            <w:r>
              <w:t>Notes</w:t>
            </w:r>
          </w:p>
        </w:tc>
        <w:tc>
          <w:tcPr>
            <w:tcW w:w="8110" w:type="dxa"/>
            <w:gridSpan w:val="5"/>
            <w:vAlign w:val="center"/>
          </w:tcPr>
          <w:p>
            <w:pPr>
              <w:rPr>
                <w:bCs/>
                <w:szCs w:val="21"/>
              </w:rPr>
            </w:pPr>
            <w:r>
              <w:rPr>
                <w:rFonts w:hint="eastAsia"/>
                <w:bCs/>
                <w:szCs w:val="21"/>
              </w:rPr>
              <w:t>1</w:t>
            </w:r>
            <w:r>
              <w:rPr>
                <w:bCs/>
                <w:szCs w:val="21"/>
              </w:rPr>
              <w:t xml:space="preserve">. </w:t>
            </w:r>
            <w:r>
              <w:rPr>
                <w:szCs w:val="21"/>
              </w:rPr>
              <w:t>Please prepare your passport, Chinese visa and third-party transit country visa (if necessary) before coming to China.</w:t>
            </w:r>
          </w:p>
          <w:p>
            <w:pPr>
              <w:rPr>
                <w:bCs/>
                <w:szCs w:val="21"/>
              </w:rPr>
            </w:pPr>
            <w:r>
              <w:rPr>
                <w:szCs w:val="21"/>
              </w:rPr>
              <w:t>2. If you cannot depart on time due to special circumstances, or if there is a flight delay during the transfer, please contact the Chinese embassy or the organizer in time and inform the staff of the new flight No. and time of arrival in Beijing so that the staff can arrange pick-up for you.</w:t>
            </w:r>
          </w:p>
          <w:p>
            <w:pPr>
              <w:rPr>
                <w:bCs/>
                <w:szCs w:val="21"/>
              </w:rPr>
            </w:pPr>
            <w:r>
              <w:rPr>
                <w:szCs w:val="21"/>
              </w:rPr>
              <w:t>3. In principle, it is not allowed to change the air tickets to China. If you really need to do so, please contact the Chinese embassy and follow the procedures to change your ticket. If you change the air ticket without consent, the organizer will report it to the Chinese embassy and the costs and responsibilities therefore incurred shall be borne by yourself.</w:t>
            </w:r>
          </w:p>
          <w:p>
            <w:r>
              <w:t>4. After claiming your luggage, please wait patiently at the international arrival exit (or domestic arrival exit) and the staff will pick you up with a pick-up board with your name on it. If you wait more than 15 minutes, please call the organizer immediately.</w:t>
            </w:r>
          </w:p>
          <w:p>
            <w:r>
              <w:t>5. In case of lost luggage to be registered with the airline, please first communicate with the organizer to confirm the luggage delivery location and then fill in the registration form.</w:t>
            </w:r>
          </w:p>
          <w:p>
            <w:r>
              <w:t>6. Dress code: Please pay attention to the weather conditions of the host city during the seminar and bring appropriate clothes. For important occasions, please dress formally (national costumes are acceptable).</w:t>
            </w:r>
          </w:p>
        </w:tc>
      </w:tr>
    </w:tbl>
    <w:p/>
    <w:sectPr>
      <w:footerReference r:id="rId3" w:type="default"/>
      <w:footerReference r:id="rId4" w:type="even"/>
      <w:pgSz w:w="11906" w:h="16838"/>
      <w:pgMar w:top="1474" w:right="1588"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top"/>
      <w:rPr>
        <w:rStyle w:val="13"/>
        <w:sz w:val="21"/>
        <w:szCs w:val="21"/>
      </w:rPr>
    </w:pPr>
    <w:r>
      <w:rPr>
        <w:sz w:val="21"/>
        <w:szCs w:val="21"/>
      </w:rPr>
      <w:fldChar w:fldCharType="begin"/>
    </w:r>
    <w:r>
      <w:rPr>
        <w:rStyle w:val="13"/>
        <w:sz w:val="21"/>
        <w:szCs w:val="21"/>
      </w:rPr>
      <w:instrText xml:space="preserve">PAGE  </w:instrText>
    </w:r>
    <w:r>
      <w:rPr>
        <w:sz w:val="21"/>
        <w:szCs w:val="21"/>
      </w:rPr>
      <w:fldChar w:fldCharType="separate"/>
    </w:r>
    <w:r>
      <w:rPr>
        <w:sz w:val="21"/>
        <w:szCs w:val="21"/>
      </w:rPr>
      <w:t>1</w:t>
    </w:r>
    <w:r>
      <w:rPr>
        <w:sz w:val="21"/>
        <w:szCs w:val="2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top"/>
      <w:rPr>
        <w:rStyle w:val="13"/>
      </w:rPr>
    </w:pPr>
    <w:r>
      <w:fldChar w:fldCharType="begin"/>
    </w:r>
    <w:r>
      <w:rPr>
        <w:rStyle w:val="13"/>
      </w:rPr>
      <w:instrText xml:space="preserve">PAGE  </w:instrText>
    </w:r>
    <w:r>
      <w:fldChar w:fldCharType="separate"/>
    </w:r>
    <w:r>
      <w:rPr>
        <w:rStyle w:val="13"/>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MDZiODllZjQ2NDAzOTMwZmQzNjEyOGFkZGRjMjAifQ=="/>
  </w:docVars>
  <w:rsids>
    <w:rsidRoot w:val="00172A27"/>
    <w:rsid w:val="00055D41"/>
    <w:rsid w:val="000672E5"/>
    <w:rsid w:val="00082AF1"/>
    <w:rsid w:val="0009212E"/>
    <w:rsid w:val="00092DC9"/>
    <w:rsid w:val="00095795"/>
    <w:rsid w:val="000A0774"/>
    <w:rsid w:val="000D2873"/>
    <w:rsid w:val="000D4E41"/>
    <w:rsid w:val="000E4B0C"/>
    <w:rsid w:val="000F19A6"/>
    <w:rsid w:val="000F29D5"/>
    <w:rsid w:val="00105598"/>
    <w:rsid w:val="0012576F"/>
    <w:rsid w:val="001304C2"/>
    <w:rsid w:val="00137768"/>
    <w:rsid w:val="001415F2"/>
    <w:rsid w:val="00142BB9"/>
    <w:rsid w:val="00164B02"/>
    <w:rsid w:val="00165919"/>
    <w:rsid w:val="00166754"/>
    <w:rsid w:val="00172A27"/>
    <w:rsid w:val="001745C9"/>
    <w:rsid w:val="001B0F85"/>
    <w:rsid w:val="001B17C6"/>
    <w:rsid w:val="001D038D"/>
    <w:rsid w:val="001D6233"/>
    <w:rsid w:val="001E1B15"/>
    <w:rsid w:val="001F00FD"/>
    <w:rsid w:val="00200FCD"/>
    <w:rsid w:val="002268C0"/>
    <w:rsid w:val="0023453E"/>
    <w:rsid w:val="00251275"/>
    <w:rsid w:val="00263A72"/>
    <w:rsid w:val="002670C4"/>
    <w:rsid w:val="00271208"/>
    <w:rsid w:val="0029586B"/>
    <w:rsid w:val="002A35FC"/>
    <w:rsid w:val="002F088D"/>
    <w:rsid w:val="003037C4"/>
    <w:rsid w:val="003159B4"/>
    <w:rsid w:val="0031622D"/>
    <w:rsid w:val="00325D3F"/>
    <w:rsid w:val="00350B2A"/>
    <w:rsid w:val="00353372"/>
    <w:rsid w:val="003C00C1"/>
    <w:rsid w:val="003F44F5"/>
    <w:rsid w:val="003F4F28"/>
    <w:rsid w:val="004143E0"/>
    <w:rsid w:val="0044134B"/>
    <w:rsid w:val="004426E1"/>
    <w:rsid w:val="00447C27"/>
    <w:rsid w:val="004676DD"/>
    <w:rsid w:val="00472483"/>
    <w:rsid w:val="00475231"/>
    <w:rsid w:val="00475D72"/>
    <w:rsid w:val="004A50DC"/>
    <w:rsid w:val="004B4FC7"/>
    <w:rsid w:val="004B736A"/>
    <w:rsid w:val="004F1FDF"/>
    <w:rsid w:val="00525B8D"/>
    <w:rsid w:val="0052773E"/>
    <w:rsid w:val="0053611A"/>
    <w:rsid w:val="0054674D"/>
    <w:rsid w:val="00550BCA"/>
    <w:rsid w:val="0058006A"/>
    <w:rsid w:val="00592D7A"/>
    <w:rsid w:val="00596A3E"/>
    <w:rsid w:val="005C0AFC"/>
    <w:rsid w:val="005C1A26"/>
    <w:rsid w:val="005C2449"/>
    <w:rsid w:val="005E6EB4"/>
    <w:rsid w:val="005E7FB7"/>
    <w:rsid w:val="005F003C"/>
    <w:rsid w:val="00633C01"/>
    <w:rsid w:val="00643731"/>
    <w:rsid w:val="0066352F"/>
    <w:rsid w:val="00665390"/>
    <w:rsid w:val="00680796"/>
    <w:rsid w:val="0068117F"/>
    <w:rsid w:val="0068169A"/>
    <w:rsid w:val="006841C4"/>
    <w:rsid w:val="006D72A6"/>
    <w:rsid w:val="006F5299"/>
    <w:rsid w:val="0070716E"/>
    <w:rsid w:val="00712658"/>
    <w:rsid w:val="00721458"/>
    <w:rsid w:val="0072395E"/>
    <w:rsid w:val="00726D23"/>
    <w:rsid w:val="00732078"/>
    <w:rsid w:val="007361E1"/>
    <w:rsid w:val="00786480"/>
    <w:rsid w:val="00790837"/>
    <w:rsid w:val="00791149"/>
    <w:rsid w:val="007B43BA"/>
    <w:rsid w:val="007B67B1"/>
    <w:rsid w:val="007C540D"/>
    <w:rsid w:val="007D2922"/>
    <w:rsid w:val="007F760A"/>
    <w:rsid w:val="00810FD6"/>
    <w:rsid w:val="008118AE"/>
    <w:rsid w:val="00817990"/>
    <w:rsid w:val="008413FA"/>
    <w:rsid w:val="0087568C"/>
    <w:rsid w:val="008852F5"/>
    <w:rsid w:val="008A3ABB"/>
    <w:rsid w:val="008A4860"/>
    <w:rsid w:val="008B3D0A"/>
    <w:rsid w:val="008E167D"/>
    <w:rsid w:val="008E1F64"/>
    <w:rsid w:val="00912BB0"/>
    <w:rsid w:val="009132EC"/>
    <w:rsid w:val="00923227"/>
    <w:rsid w:val="009407A8"/>
    <w:rsid w:val="00960F29"/>
    <w:rsid w:val="009A05FD"/>
    <w:rsid w:val="009A1416"/>
    <w:rsid w:val="009B76AB"/>
    <w:rsid w:val="009D59A7"/>
    <w:rsid w:val="009F68BE"/>
    <w:rsid w:val="00A062D4"/>
    <w:rsid w:val="00A1114E"/>
    <w:rsid w:val="00A14EFC"/>
    <w:rsid w:val="00A16E37"/>
    <w:rsid w:val="00A176C2"/>
    <w:rsid w:val="00A47A23"/>
    <w:rsid w:val="00A72162"/>
    <w:rsid w:val="00A83F8D"/>
    <w:rsid w:val="00A878F7"/>
    <w:rsid w:val="00A915BE"/>
    <w:rsid w:val="00A919FD"/>
    <w:rsid w:val="00AB2505"/>
    <w:rsid w:val="00AB5399"/>
    <w:rsid w:val="00AD6838"/>
    <w:rsid w:val="00AD718F"/>
    <w:rsid w:val="00B048B6"/>
    <w:rsid w:val="00B07FB0"/>
    <w:rsid w:val="00B125EC"/>
    <w:rsid w:val="00B15B86"/>
    <w:rsid w:val="00B25997"/>
    <w:rsid w:val="00B469F2"/>
    <w:rsid w:val="00B471DC"/>
    <w:rsid w:val="00B533FC"/>
    <w:rsid w:val="00B614C1"/>
    <w:rsid w:val="00B62642"/>
    <w:rsid w:val="00B64691"/>
    <w:rsid w:val="00B66A9C"/>
    <w:rsid w:val="00B73F7F"/>
    <w:rsid w:val="00B81B7D"/>
    <w:rsid w:val="00BB717E"/>
    <w:rsid w:val="00BC7F92"/>
    <w:rsid w:val="00C031F4"/>
    <w:rsid w:val="00C10781"/>
    <w:rsid w:val="00C1648A"/>
    <w:rsid w:val="00C31CAA"/>
    <w:rsid w:val="00C44DE1"/>
    <w:rsid w:val="00C50621"/>
    <w:rsid w:val="00C61C76"/>
    <w:rsid w:val="00C72B05"/>
    <w:rsid w:val="00C85383"/>
    <w:rsid w:val="00C8563A"/>
    <w:rsid w:val="00CA14B5"/>
    <w:rsid w:val="00CB6631"/>
    <w:rsid w:val="00CB7023"/>
    <w:rsid w:val="00CF2790"/>
    <w:rsid w:val="00CF538F"/>
    <w:rsid w:val="00D12189"/>
    <w:rsid w:val="00D25D99"/>
    <w:rsid w:val="00D31177"/>
    <w:rsid w:val="00D32A7E"/>
    <w:rsid w:val="00D34DCA"/>
    <w:rsid w:val="00D43FB1"/>
    <w:rsid w:val="00D44296"/>
    <w:rsid w:val="00D465D4"/>
    <w:rsid w:val="00D54909"/>
    <w:rsid w:val="00D6226C"/>
    <w:rsid w:val="00D83528"/>
    <w:rsid w:val="00D83EA0"/>
    <w:rsid w:val="00D87F14"/>
    <w:rsid w:val="00DD2915"/>
    <w:rsid w:val="00DD3CC3"/>
    <w:rsid w:val="00DE3FD7"/>
    <w:rsid w:val="00DF1D63"/>
    <w:rsid w:val="00E1211E"/>
    <w:rsid w:val="00E150E9"/>
    <w:rsid w:val="00E24FFC"/>
    <w:rsid w:val="00E2619D"/>
    <w:rsid w:val="00E464AF"/>
    <w:rsid w:val="00E47E4A"/>
    <w:rsid w:val="00E54195"/>
    <w:rsid w:val="00E63DA1"/>
    <w:rsid w:val="00E73D15"/>
    <w:rsid w:val="00E81876"/>
    <w:rsid w:val="00E92362"/>
    <w:rsid w:val="00EB2C3C"/>
    <w:rsid w:val="00EB4E3F"/>
    <w:rsid w:val="00EC685E"/>
    <w:rsid w:val="00EC6B75"/>
    <w:rsid w:val="00EE0B21"/>
    <w:rsid w:val="00EE1AA7"/>
    <w:rsid w:val="00EF17DC"/>
    <w:rsid w:val="00EF656D"/>
    <w:rsid w:val="00F0690B"/>
    <w:rsid w:val="00F15F30"/>
    <w:rsid w:val="00F2115C"/>
    <w:rsid w:val="00F25060"/>
    <w:rsid w:val="00F470D5"/>
    <w:rsid w:val="00F7701E"/>
    <w:rsid w:val="00F969D3"/>
    <w:rsid w:val="00FC2C53"/>
    <w:rsid w:val="00FC6EBA"/>
    <w:rsid w:val="00FF26E4"/>
    <w:rsid w:val="00FF6A0C"/>
    <w:rsid w:val="0789171F"/>
    <w:rsid w:val="07E36A1B"/>
    <w:rsid w:val="085A5FF7"/>
    <w:rsid w:val="0AD24C5E"/>
    <w:rsid w:val="0D004C93"/>
    <w:rsid w:val="0FC1401D"/>
    <w:rsid w:val="11C0559D"/>
    <w:rsid w:val="150A5E5F"/>
    <w:rsid w:val="18764CB7"/>
    <w:rsid w:val="19194738"/>
    <w:rsid w:val="19720CC7"/>
    <w:rsid w:val="1B012302"/>
    <w:rsid w:val="214E366E"/>
    <w:rsid w:val="260E41E0"/>
    <w:rsid w:val="26E33204"/>
    <w:rsid w:val="295E4DC4"/>
    <w:rsid w:val="2A040F5A"/>
    <w:rsid w:val="2BA27488"/>
    <w:rsid w:val="2C302A48"/>
    <w:rsid w:val="2DA57465"/>
    <w:rsid w:val="2DCE2518"/>
    <w:rsid w:val="31BA14CA"/>
    <w:rsid w:val="322946F3"/>
    <w:rsid w:val="34C464BE"/>
    <w:rsid w:val="36F20C4B"/>
    <w:rsid w:val="389249C1"/>
    <w:rsid w:val="39BA6046"/>
    <w:rsid w:val="3A4C05C0"/>
    <w:rsid w:val="3AE01ADD"/>
    <w:rsid w:val="3BAF6A15"/>
    <w:rsid w:val="3ED4071F"/>
    <w:rsid w:val="3FFB686C"/>
    <w:rsid w:val="409E1999"/>
    <w:rsid w:val="45505AB1"/>
    <w:rsid w:val="477B19AA"/>
    <w:rsid w:val="480F3A01"/>
    <w:rsid w:val="497F17BC"/>
    <w:rsid w:val="4B7B4CA6"/>
    <w:rsid w:val="51C54C50"/>
    <w:rsid w:val="598B2218"/>
    <w:rsid w:val="5C3E1D13"/>
    <w:rsid w:val="5C5D64D0"/>
    <w:rsid w:val="5D9E3405"/>
    <w:rsid w:val="5DED3BE2"/>
    <w:rsid w:val="5E713868"/>
    <w:rsid w:val="5F3C2ED6"/>
    <w:rsid w:val="60EE0200"/>
    <w:rsid w:val="612339DE"/>
    <w:rsid w:val="61E910CE"/>
    <w:rsid w:val="65B4570E"/>
    <w:rsid w:val="6E7F4B8D"/>
    <w:rsid w:val="70E97FC0"/>
    <w:rsid w:val="71E22449"/>
    <w:rsid w:val="74A0760B"/>
    <w:rsid w:val="779524D0"/>
    <w:rsid w:val="77B50A1E"/>
    <w:rsid w:val="7D8C02FE"/>
    <w:rsid w:val="7EE81825"/>
    <w:rsid w:val="AF9D29DE"/>
    <w:rsid w:val="BBCE5126"/>
    <w:rsid w:val="F5C9C777"/>
    <w:rsid w:val="FFFF2EA1"/>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qFormat/>
    <w:uiPriority w:val="0"/>
    <w:pPr>
      <w:jc w:val="left"/>
    </w:pPr>
    <w:rPr>
      <w:rFonts w:eastAsia="黑体"/>
    </w:rPr>
  </w:style>
  <w:style w:type="paragraph" w:styleId="3">
    <w:name w:val="Body Text Indent"/>
    <w:basedOn w:val="1"/>
    <w:qFormat/>
    <w:uiPriority w:val="0"/>
    <w:pPr>
      <w:ind w:firstLine="560" w:firstLineChars="200"/>
    </w:pPr>
    <w:rPr>
      <w:kern w:val="10"/>
      <w:sz w:val="28"/>
    </w:rPr>
  </w:style>
  <w:style w:type="paragraph" w:styleId="4">
    <w:name w:val="Balloon Text"/>
    <w:basedOn w:val="1"/>
    <w:link w:val="17"/>
    <w:qFormat/>
    <w:uiPriority w:val="0"/>
    <w:rPr>
      <w:rFonts w:eastAsia="黑体"/>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eastAsia="黑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9"/>
    <w:qFormat/>
    <w:uiPriority w:val="0"/>
    <w:rPr>
      <w:b/>
      <w:bCs/>
    </w:r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rFonts w:eastAsia="黑体"/>
      <w:b/>
      <w:bCs/>
      <w:kern w:val="2"/>
      <w:sz w:val="32"/>
      <w:szCs w:val="32"/>
      <w:lang w:val="en-US" w:eastAsia="zh-CN" w:bidi="ar-SA"/>
    </w:rPr>
  </w:style>
  <w:style w:type="character" w:styleId="13">
    <w:name w:val="page number"/>
    <w:qFormat/>
    <w:uiPriority w:val="0"/>
    <w:rPr>
      <w:lang w:val="en-US" w:eastAsia="zh-CN" w:bidi="ar-SA"/>
    </w:rPr>
  </w:style>
  <w:style w:type="character" w:styleId="14">
    <w:name w:val="Hyperlink"/>
    <w:qFormat/>
    <w:uiPriority w:val="0"/>
    <w:rPr>
      <w:rFonts w:eastAsia="黑体"/>
      <w:color w:val="0563C1"/>
      <w:kern w:val="2"/>
      <w:sz w:val="32"/>
      <w:szCs w:val="32"/>
      <w:u w:val="single"/>
      <w:lang w:val="en-US" w:eastAsia="zh-CN" w:bidi="ar-SA"/>
    </w:rPr>
  </w:style>
  <w:style w:type="character" w:styleId="15">
    <w:name w:val="annotation reference"/>
    <w:qFormat/>
    <w:uiPriority w:val="0"/>
    <w:rPr>
      <w:rFonts w:eastAsia="黑体"/>
      <w:kern w:val="2"/>
      <w:sz w:val="21"/>
      <w:szCs w:val="21"/>
      <w:lang w:val="en-US" w:eastAsia="zh-CN" w:bidi="ar-SA"/>
    </w:rPr>
  </w:style>
  <w:style w:type="character" w:customStyle="1" w:styleId="16">
    <w:name w:val="批注文字 字符"/>
    <w:link w:val="2"/>
    <w:qFormat/>
    <w:uiPriority w:val="0"/>
    <w:rPr>
      <w:rFonts w:eastAsia="黑体"/>
      <w:kern w:val="2"/>
      <w:sz w:val="21"/>
      <w:szCs w:val="24"/>
      <w:lang w:val="en-US" w:eastAsia="zh-CN" w:bidi="ar-SA"/>
    </w:rPr>
  </w:style>
  <w:style w:type="character" w:customStyle="1" w:styleId="17">
    <w:name w:val="批注框文本 字符"/>
    <w:link w:val="4"/>
    <w:qFormat/>
    <w:uiPriority w:val="0"/>
    <w:rPr>
      <w:rFonts w:eastAsia="黑体"/>
      <w:kern w:val="2"/>
      <w:sz w:val="18"/>
      <w:szCs w:val="18"/>
      <w:lang w:val="en-US" w:eastAsia="zh-CN" w:bidi="ar-SA"/>
    </w:rPr>
  </w:style>
  <w:style w:type="character" w:customStyle="1" w:styleId="18">
    <w:name w:val="页眉 字符"/>
    <w:link w:val="6"/>
    <w:qFormat/>
    <w:uiPriority w:val="0"/>
    <w:rPr>
      <w:rFonts w:eastAsia="黑体"/>
      <w:kern w:val="2"/>
      <w:sz w:val="18"/>
      <w:szCs w:val="18"/>
      <w:lang w:val="en-US" w:eastAsia="zh-CN" w:bidi="ar-SA"/>
    </w:rPr>
  </w:style>
  <w:style w:type="character" w:customStyle="1" w:styleId="19">
    <w:name w:val="批注主题 字符"/>
    <w:link w:val="8"/>
    <w:qFormat/>
    <w:uiPriority w:val="0"/>
    <w:rPr>
      <w:rFonts w:eastAsia="黑体"/>
      <w:b/>
      <w:bCs/>
      <w:kern w:val="2"/>
      <w:sz w:val="21"/>
      <w:szCs w:val="24"/>
      <w:lang w:val="en-US" w:eastAsia="zh-CN" w:bidi="ar-SA"/>
    </w:rPr>
  </w:style>
  <w:style w:type="character" w:customStyle="1" w:styleId="20">
    <w:name w:val="hps"/>
    <w:qFormat/>
    <w:uiPriority w:val="0"/>
    <w:rPr>
      <w:lang w:val="en-US" w:eastAsia="zh-CN" w:bidi="ar-SA"/>
    </w:rPr>
  </w:style>
  <w:style w:type="character" w:customStyle="1" w:styleId="21">
    <w:name w:val="high-light high-light-bg"/>
    <w:qFormat/>
    <w:uiPriority w:val="0"/>
    <w:rPr>
      <w:lang w:val="en-US" w:eastAsia="zh-CN" w:bidi="ar-SA"/>
    </w:rPr>
  </w:style>
  <w:style w:type="character" w:customStyle="1" w:styleId="22">
    <w:name w:val="high-light"/>
    <w:qFormat/>
    <w:uiPriority w:val="0"/>
    <w:rPr>
      <w:lang w:val="en-US" w:eastAsia="zh-CN" w:bidi="ar-SA"/>
    </w:rPr>
  </w:style>
  <w:style w:type="character" w:customStyle="1" w:styleId="23">
    <w:name w:val="short_text"/>
    <w:qFormat/>
    <w:uiPriority w:val="0"/>
    <w:rPr>
      <w:lang w:val="en-US" w:eastAsia="zh-CN" w:bidi="ar-SA"/>
    </w:rPr>
  </w:style>
  <w:style w:type="character" w:customStyle="1" w:styleId="24">
    <w:name w:val="apple-converted-space"/>
    <w:qFormat/>
    <w:uiPriority w:val="0"/>
    <w:rPr>
      <w:lang w:val="en-US" w:eastAsia="zh-CN" w:bidi="ar-SA"/>
    </w:rPr>
  </w:style>
  <w:style w:type="paragraph" w:customStyle="1" w:styleId="25">
    <w:name w:val="Char"/>
    <w:basedOn w:val="1"/>
    <w:next w:val="1"/>
    <w:qFormat/>
    <w:uiPriority w:val="0"/>
    <w:pPr>
      <w:pageBreakBefore/>
      <w:tabs>
        <w:tab w:val="left" w:pos="425"/>
      </w:tabs>
      <w:spacing w:line="400" w:lineRule="exact"/>
      <w:ind w:left="425" w:hanging="425"/>
    </w:pPr>
    <w:rPr>
      <w:rFonts w:eastAsia="黑体"/>
      <w:sz w:val="32"/>
      <w:szCs w:val="32"/>
    </w:rPr>
  </w:style>
  <w:style w:type="paragraph" w:customStyle="1" w:styleId="26">
    <w:name w:val="tgt2"/>
    <w:basedOn w:val="1"/>
    <w:qFormat/>
    <w:uiPriority w:val="0"/>
    <w:pPr>
      <w:widowControl/>
      <w:spacing w:after="150" w:line="360" w:lineRule="auto"/>
      <w:jc w:val="left"/>
    </w:pPr>
    <w:rPr>
      <w:rFonts w:ascii="宋体" w:hAnsi="宋体" w:cs="宋体"/>
      <w:b/>
      <w:bCs/>
      <w:kern w:val="0"/>
      <w:sz w:val="36"/>
      <w:szCs w:val="36"/>
    </w:rPr>
  </w:style>
  <w:style w:type="paragraph" w:customStyle="1" w:styleId="27">
    <w:name w:val="Char Char1"/>
    <w:basedOn w:val="1"/>
    <w:next w:val="1"/>
    <w:qFormat/>
    <w:uiPriority w:val="0"/>
    <w:pPr>
      <w:pageBreakBefore/>
      <w:tabs>
        <w:tab w:val="left" w:pos="425"/>
      </w:tabs>
      <w:spacing w:line="400" w:lineRule="exact"/>
      <w:ind w:left="425" w:hanging="425"/>
    </w:pPr>
    <w:rPr>
      <w:rFonts w:eastAsia="黑体"/>
      <w:sz w:val="32"/>
      <w:szCs w:val="32"/>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footer" Target="footer2.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2026-07-02T11:59:23+00:00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C200B-FC6A-4984-B081-BC94D6289D73}"/>
</file>

<file path=customXml/itemProps3.xml><?xml version="1.0" encoding="utf-8"?>
<ds:datastoreItem xmlns:ds="http://schemas.openxmlformats.org/officeDocument/2006/customXml" ds:itemID="{3D041FF8-7117-4ADA-93BA-F6AEB7A66E6D}"/>
</file>

<file path=customXml/itemProps4.xml><?xml version="1.0" encoding="utf-8"?>
<ds:datastoreItem xmlns:ds="http://schemas.openxmlformats.org/officeDocument/2006/customXml" ds:itemID="{2E2598E6-0552-4539-ABC9-0649CC535466}"/>
</file>

<file path=docProps/app.xml><?xml version="1.0" encoding="utf-8"?>
<Properties xmlns="http://schemas.openxmlformats.org/officeDocument/2006/extended-properties" xmlns:vt="http://schemas.openxmlformats.org/officeDocument/2006/docPropsVTypes">
  <Template>Normal.dotm</Template>
  <Company>TC-MOFCOM</Company>
  <Pages>7</Pages>
  <Words>3508</Words>
  <Characters>8371</Characters>
  <Lines>286</Lines>
  <Paragraphs>170</Paragraphs>
  <TotalTime>73</TotalTime>
  <ScaleCrop>false</ScaleCrop>
  <LinksUpToDate>false</LinksUpToDate>
  <CharactersWithSpaces>9271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关于塞尔维亚地方官员研修班</dc:title>
  <dc:creator>ZHENG Fang</dc:creator>
  <cp:lastModifiedBy>ShiYongRen</cp:lastModifiedBy>
  <cp:revision>19</cp:revision>
  <cp:lastPrinted>2023-08-17T01:25:00Z</cp:lastPrinted>
  <dcterms:created xsi:type="dcterms:W3CDTF">2025-04-01T09:39:00Z</dcterms:created>
  <dcterms:modified xsi:type="dcterms:W3CDTF">2026-06-25T16:04:29Z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2AF453860A5F46D1B1943EAB22AF9F49_13</vt:lpwstr>
  </property>
  <property fmtid="{D5CDD505-2E9C-101B-9397-08002B2CF9AE}" pid="3" name="KSOProductBuildVer">
    <vt:lpwstr>2052-11.8.2.8696</vt:lpwstr>
  </property>
  <property fmtid="{D5CDD505-2E9C-101B-9397-08002B2CF9AE}" pid="4" name="KSOTemplateDocerSaveRecord">
    <vt:lpwstr>eyJoZGlkIjoiNjQxMDliMDFjOTNjZmI0NzI4Y2M1YWRjOGJiYWQ3MjEiLCJ1c2VySWQiOiIyNzYwMTgyODAifQ==</vt:lpwstr>
  </property>
  <property fmtid="{D5CDD505-2E9C-101B-9397-08002B2CF9AE}" pid="5" name="ContentTypeId">
    <vt:lpwstr>0x010100FDB37311BB72A8429F6B11DE0211136C</vt:lpwstr>
  </property>
</Properties>
</file>