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rFonts w:hint="default" w:ascii="Times New Roman" w:hAnsi="Times New Roman" w:cs="Times New Roman"/>
          <w:b/>
        </w:rPr>
      </w:pPr>
      <w:r>
        <w:rPr>
          <w:rFonts w:hint="default" w:ascii="Times New Roman" w:hAnsi="Times New Roman" w:cs="Times New Roman"/>
          <w:b/>
          <w:sz w:val="30"/>
        </w:rPr>
        <w:t>Seminar on Safety Management of Food Additives under the Global Development Initiative</w:t>
      </w:r>
      <w:bookmarkStart w:id="0" w:name="projectPnameEnTitle"/>
      <w:bookmarkStart w:id="53" w:name="_GoBack"/>
      <w:bookmarkEnd w:id="53"/>
    </w:p>
    <w:tbl>
      <w:tblPr>
        <w:tblStyle w:val="5"/>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275"/>
        <w:gridCol w:w="1152"/>
        <w:gridCol w:w="1374"/>
        <w:gridCol w:w="720"/>
        <w:gridCol w:w="1857"/>
        <w:gridCol w:w="2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 w:name="unitNameEnTitle"/>
            <w:r>
              <w:rPr>
                <w:rFonts w:eastAsia="Times New Roman"/>
                <w:sz w:val="22"/>
              </w:rPr>
              <w:t>Program name</w:t>
            </w:r>
            <w:bookmarkEnd w:id="0"/>
            <w:bookmarkEnd w:id="1"/>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2114"/>
              </w:tabs>
              <w:snapToGrid w:val="0"/>
              <w:spacing w:line="240" w:lineRule="exact"/>
              <w:jc w:val="center"/>
              <w:rPr>
                <w:color w:val="000000"/>
              </w:rPr>
            </w:pPr>
            <w:bookmarkStart w:id="2" w:name="projectPnameEn"/>
            <w:r>
              <w:rPr>
                <w:rFonts w:eastAsia="Times New Roman"/>
                <w:sz w:val="22"/>
              </w:rPr>
              <w:t>Seminar on Safety Management of Food Additives under the Global Development Initiative</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 w:name="undertakeNameEnTitle"/>
            <w:r>
              <w:rPr>
                <w:rFonts w:eastAsia="Times New Roman"/>
                <w:sz w:val="22"/>
              </w:rPr>
              <w:t>Organized by</w:t>
            </w:r>
            <w:bookmarkEnd w:id="3"/>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1293"/>
              </w:tabs>
              <w:snapToGrid w:val="0"/>
              <w:spacing w:line="240" w:lineRule="exact"/>
              <w:jc w:val="center"/>
              <w:rPr>
                <w:color w:val="000000"/>
              </w:rPr>
            </w:pPr>
            <w:bookmarkStart w:id="4" w:name="undertakeNameEn"/>
            <w:r>
              <w:rPr>
                <w:rFonts w:eastAsia="Times New Roman"/>
                <w:sz w:val="22"/>
              </w:rPr>
              <w:t>China National Research Institute of Food and Fermentation Industries Corporation Limited</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 w:name="projectDateTitle"/>
            <w:r>
              <w:rPr>
                <w:rFonts w:eastAsia="Times New Roman"/>
                <w:sz w:val="22"/>
              </w:rPr>
              <w:t>Time</w:t>
            </w:r>
            <w:bookmarkEnd w:id="5"/>
          </w:p>
        </w:tc>
        <w:tc>
          <w:tcPr>
            <w:tcW w:w="38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6" w:name="projectStartDateEn"/>
            <w:r>
              <w:rPr>
                <w:rFonts w:eastAsia="Times New Roman"/>
                <w:sz w:val="22"/>
              </w:rPr>
              <w:t>2026-09-15</w:t>
            </w:r>
            <w:bookmarkEnd w:id="6"/>
            <w:r>
              <w:rPr>
                <w:rFonts w:hint="eastAsia"/>
                <w:color w:val="000000"/>
                <w:szCs w:val="21"/>
              </w:rPr>
              <w:t xml:space="preserve"> -- </w:t>
            </w:r>
            <w:bookmarkStart w:id="7" w:name="projectEndDateEn"/>
            <w:r>
              <w:rPr>
                <w:rFonts w:eastAsia="Times New Roman"/>
                <w:sz w:val="22"/>
              </w:rPr>
              <w:t>2026-09-28</w:t>
            </w:r>
            <w:bookmarkEnd w:id="7"/>
          </w:p>
        </w:tc>
        <w:tc>
          <w:tcPr>
            <w:tcW w:w="25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8" w:name="projectLanguageEnTitle"/>
            <w:r>
              <w:rPr>
                <w:rFonts w:eastAsia="Times New Roman"/>
                <w:sz w:val="22"/>
              </w:rPr>
              <w:t>Language used</w:t>
            </w:r>
            <w:bookmarkEnd w:id="8"/>
          </w:p>
        </w:tc>
        <w:tc>
          <w:tcPr>
            <w:tcW w:w="20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9" w:name="projectLanguageEn"/>
            <w:r>
              <w:rPr>
                <w:rFonts w:eastAsia="Times New Roman"/>
                <w:sz w:val="22"/>
              </w:rPr>
              <w:t>English</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0" w:name="projectInvitedEnTitle"/>
            <w:r>
              <w:rPr>
                <w:rFonts w:eastAsia="Times New Roman"/>
                <w:sz w:val="22"/>
              </w:rPr>
              <w:t>Countries invited</w:t>
            </w:r>
            <w:bookmarkEnd w:id="10"/>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40" w:firstLineChars="200"/>
              <w:rPr>
                <w:color w:val="000000"/>
              </w:rPr>
            </w:pPr>
            <w:bookmarkStart w:id="11" w:name="projectInvitedEn"/>
            <w:r>
              <w:rPr>
                <w:rFonts w:eastAsia="Times New Roman"/>
                <w:sz w:val="22"/>
              </w:rPr>
              <w:t>Developing countries</w:t>
            </w:r>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2" w:name="projectPersonNumTitle"/>
            <w:r>
              <w:rPr>
                <w:rFonts w:eastAsia="Times New Roman"/>
                <w:sz w:val="22"/>
              </w:rPr>
              <w:t>Planned number of participants</w:t>
            </w:r>
            <w:bookmarkEnd w:id="12"/>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180" w:firstLineChars="1900"/>
              <w:rPr>
                <w:color w:val="000000"/>
              </w:rPr>
            </w:pPr>
            <w:bookmarkStart w:id="13" w:name="projectPersonNumMinEn"/>
            <w:bookmarkStart w:id="14" w:name="projectPersonNumMaxEn"/>
            <w:bookmarkStart w:id="15" w:name="prcEstimateNumEn"/>
            <w:r>
              <w:rPr>
                <w:rFonts w:eastAsia="Times New Roman"/>
                <w:sz w:val="22"/>
              </w:rPr>
              <w:t>30</w:t>
            </w:r>
            <w:bookmarkEnd w:id="13"/>
            <w:bookmarkEnd w:id="14"/>
            <w:bookmarkEnd w:id="1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16" w:name="studentRequireTitle"/>
            <w:r>
              <w:rPr>
                <w:rFonts w:eastAsia="Times New Roman"/>
                <w:sz w:val="22"/>
              </w:rPr>
              <w:t>Requirements for the Participants</w:t>
            </w:r>
            <w:bookmarkEnd w:id="16"/>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7" w:name="studentRequireAgeTitle"/>
            <w:r>
              <w:rPr>
                <w:rFonts w:eastAsia="Times New Roman"/>
                <w:sz w:val="22"/>
              </w:rPr>
              <w:t>Age</w:t>
            </w:r>
            <w:bookmarkEnd w:id="17"/>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8" w:name="pmStConditionAgeEn"/>
            <w:r>
              <w:rPr>
                <w:rFonts w:eastAsia="Times New Roman"/>
                <w:sz w:val="22"/>
              </w:rPr>
              <w:t>Under 50 for director-general level officials; under 45 for division director level officials.</w:t>
            </w:r>
            <w:bookmarkEnd w:id="1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58" w:hRule="atLeas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9" w:name="studentRequireHealthTitle"/>
            <w:r>
              <w:rPr>
                <w:rFonts w:eastAsia="Times New Roman"/>
                <w:sz w:val="22"/>
              </w:rPr>
              <w:t>Health condition</w:t>
            </w:r>
            <w:bookmarkEnd w:id="19"/>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440" w:firstLineChars="200"/>
              <w:rPr>
                <w:color w:val="000000"/>
              </w:rPr>
            </w:pPr>
            <w:bookmarkStart w:id="20" w:name="pmStCoditionBdEn"/>
            <w:r>
              <w:rPr>
                <w:rFonts w:eastAsia="Times New Roman"/>
                <w:sz w:val="22"/>
              </w:rPr>
              <w:t>In good health with health certificate issued by the local public hospitals; free from any diseases whose entry is prohibited under Chinese laws and regulations; without severe chronic diseases such as severe hypertension, cardiovascular/cerebrovascular diseases and diabetes; without mental diseases or epidemic diseases that are likely to cause serious threat to public health; not in the process of recovering after a major surgery or in the acute phase of an illness; without severe physical disabilities.</w:t>
            </w:r>
            <w:bookmarkEnd w:id="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1" w:name="studentRequireLanguageTitle"/>
            <w:r>
              <w:rPr>
                <w:rFonts w:eastAsia="Times New Roman"/>
                <w:sz w:val="22"/>
              </w:rPr>
              <w:t>Language competence</w:t>
            </w:r>
            <w:bookmarkEnd w:id="21"/>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2" w:name="pmStCoditionLangEn"/>
            <w:r>
              <w:rPr>
                <w:rFonts w:eastAsia="Times New Roman"/>
                <w:sz w:val="22"/>
              </w:rPr>
              <w:t>English listening, speaking, reading, and writing proficiency meets instructional requirements.</w:t>
            </w:r>
            <w:bookmarkEnd w:id="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bookmarkStart w:id="23" w:name="studentRequireOthersTitle"/>
            <w:r>
              <w:rPr>
                <w:rFonts w:eastAsia="Times New Roman"/>
                <w:sz w:val="22"/>
              </w:rPr>
              <w:t>others</w:t>
            </w:r>
            <w:bookmarkEnd w:id="23"/>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pPr>
            <w:bookmarkStart w:id="24" w:name="pmStCoditionOtherEn"/>
            <w:r>
              <w:rPr>
                <w:rFonts w:eastAsia="Times New Roman"/>
                <w:sz w:val="22"/>
              </w:rPr>
              <w:t>Participants are not permitted to bring spouses or relatives during the training program.</w:t>
            </w:r>
            <w:bookmark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5" w:name="projectHostPlaceEnTitle"/>
            <w:r>
              <w:rPr>
                <w:rFonts w:eastAsia="Times New Roman"/>
                <w:sz w:val="22"/>
              </w:rPr>
              <w:t>Venue</w:t>
            </w:r>
            <w:bookmarkEnd w:id="25"/>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6" w:name="projectHostPlaceEn"/>
            <w:r>
              <w:rPr>
                <w:rFonts w:eastAsia="Times New Roman"/>
                <w:sz w:val="22"/>
              </w:rPr>
              <w:t>Beijing City</w:t>
            </w:r>
            <w:bookmarkEnd w:id="26"/>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7" w:name="projectHpairEnTitle"/>
            <w:r>
              <w:rPr>
                <w:rFonts w:eastAsia="Times New Roman"/>
                <w:sz w:val="22"/>
              </w:rPr>
              <w:t>Weather conditions</w:t>
            </w:r>
            <w:bookmarkEnd w:id="27"/>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28" w:name="projectHpairEn"/>
            <w:r>
              <w:rPr>
                <w:rFonts w:eastAsia="Times New Roman"/>
                <w:sz w:val="22"/>
              </w:rPr>
              <w:t>15℃~30℃</w:t>
            </w:r>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65"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9" w:name="investigationCitysEnTitle"/>
            <w:r>
              <w:rPr>
                <w:rFonts w:eastAsia="Times New Roman"/>
                <w:sz w:val="22"/>
              </w:rPr>
              <w:t>Cities to be visited</w:t>
            </w:r>
            <w:bookmarkEnd w:id="29"/>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right"/>
              <w:rPr>
                <w:color w:val="000000"/>
              </w:rPr>
            </w:pPr>
            <w:bookmarkStart w:id="30" w:name="investigationCitysEn"/>
            <w:r>
              <w:rPr>
                <w:rFonts w:eastAsia="Times New Roman"/>
                <w:sz w:val="22"/>
              </w:rPr>
              <w:t>Shanghai City</w:t>
            </w:r>
            <w:bookmarkEnd w:id="30"/>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1" w:name="investigationConditionsEnTitle"/>
            <w:r>
              <w:rPr>
                <w:rFonts w:eastAsia="Times New Roman"/>
                <w:sz w:val="22"/>
              </w:rPr>
              <w:t>Weather conditions</w:t>
            </w:r>
            <w:bookmarkEnd w:id="31"/>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32" w:name="investigationConditionsEn"/>
            <w:r>
              <w:rPr>
                <w:rFonts w:eastAsia="Times New Roman"/>
                <w:sz w:val="22"/>
              </w:rPr>
              <w:t>Shanghai City:22℃~30℃</w:t>
            </w:r>
            <w:bookmark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3" w:name="projectAgCommentsEnTitle"/>
            <w:r>
              <w:rPr>
                <w:rFonts w:eastAsia="Times New Roman"/>
                <w:sz w:val="22"/>
              </w:rPr>
              <w:t>Remarks</w:t>
            </w:r>
            <w:bookmarkEnd w:id="33"/>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000000"/>
              </w:rPr>
            </w:pPr>
            <w:bookmarkStart w:id="34" w:name="projectAgCommentsEn"/>
            <w:bookmarkStart w:id="35" w:name="projectIniComEn"/>
            <w:r>
              <w:rPr>
                <w:rFonts w:eastAsia="Times New Roman"/>
                <w:sz w:val="22"/>
              </w:rPr>
              <w:t>1. Please prepare materials related to the theme in advance.</w:t>
            </w:r>
            <w:r>
              <w:rPr>
                <w:rFonts w:eastAsia="Times New Roman"/>
                <w:sz w:val="22"/>
              </w:rPr>
              <w:br w:type="textWrapping" w:clear="all"/>
            </w:r>
            <w:r>
              <w:rPr>
                <w:rFonts w:eastAsia="Times New Roman"/>
                <w:sz w:val="22"/>
              </w:rPr>
              <w:t xml:space="preserve">2. Please wear formal attire, traditional ethnic clothing, or work uniforms for formal events. </w:t>
            </w:r>
            <w:r>
              <w:rPr>
                <w:rFonts w:eastAsia="Times New Roman"/>
                <w:sz w:val="22"/>
              </w:rPr>
              <w:br w:type="textWrapping" w:clear="all"/>
            </w:r>
            <w:r>
              <w:rPr>
                <w:rFonts w:eastAsia="Times New Roman"/>
                <w:sz w:val="22"/>
              </w:rPr>
              <w:t>3. Please bring commonly used medications.</w:t>
            </w:r>
            <w:r>
              <w:rPr>
                <w:rFonts w:eastAsia="Times New Roman"/>
                <w:sz w:val="22"/>
              </w:rPr>
              <w:br w:type="textWrapping" w:clear="all"/>
            </w:r>
            <w:r>
              <w:rPr>
                <w:rFonts w:eastAsia="Times New Roman"/>
                <w:sz w:val="22"/>
              </w:rPr>
              <w:t>4. Please bring your own computer if needed as they are not provided by the Chinese side.</w:t>
            </w:r>
            <w:r>
              <w:rPr>
                <w:rFonts w:eastAsia="Times New Roman"/>
                <w:sz w:val="22"/>
              </w:rPr>
              <w:br w:type="textWrapping" w:clear="all"/>
            </w:r>
            <w:r>
              <w:rPr>
                <w:rFonts w:eastAsia="Times New Roman"/>
                <w:sz w:val="22"/>
              </w:rPr>
              <w:t xml:space="preserve">5. Personal changes to flight tickets to and from China are not permitted. If such changes are essential, please contact the Economic and Commercial Office of the Chinese Embassy in your country to make the necessary arrangements. </w:t>
            </w:r>
            <w:r>
              <w:rPr>
                <w:rFonts w:eastAsia="Times New Roman"/>
                <w:sz w:val="22"/>
              </w:rPr>
              <w:br w:type="textWrapping" w:clear="all"/>
            </w:r>
            <w:r>
              <w:rPr>
                <w:rFonts w:eastAsia="Times New Roman"/>
                <w:sz w:val="22"/>
              </w:rPr>
              <w:t xml:space="preserve">6. If you are unable to depart on time due to special circumstances or experience flight delays during transit, please promptly inform the Economic and Commercial Office or the contact person of the host organization of your updated flight information to facilitate airport pickup. </w:t>
            </w:r>
            <w:r>
              <w:rPr>
                <w:rFonts w:eastAsia="Times New Roman"/>
                <w:sz w:val="22"/>
              </w:rPr>
              <w:br w:type="textWrapping" w:clear="all"/>
            </w:r>
            <w:r>
              <w:rPr>
                <w:rFonts w:eastAsia="Times New Roman"/>
                <w:sz w:val="22"/>
              </w:rPr>
              <w:t>7. During transit, please confirm whether luggage needs to be rechecked.</w:t>
            </w:r>
            <w:r>
              <w:rPr>
                <w:rFonts w:eastAsia="Times New Roman"/>
                <w:sz w:val="22"/>
              </w:rPr>
              <w:br w:type="textWrapping" w:clear="all"/>
            </w:r>
            <w:r>
              <w:rPr>
                <w:rFonts w:eastAsia="Times New Roman"/>
                <w:sz w:val="22"/>
              </w:rPr>
              <w:t>8. After collecting your luggage upon arrival, please proceed to the international or domestic arrivals exit and wait patiently for staff members who will be holding a pickup sign that reads “China National Research Institute of Food and Fermentation Industries Corporation Limited”. If the wait exceeds 15 minutes, please contact the organizer.</w:t>
            </w:r>
            <w:r>
              <w:rPr>
                <w:rFonts w:eastAsia="Times New Roman"/>
                <w:sz w:val="22"/>
              </w:rPr>
              <w:br w:type="textWrapping" w:clear="all"/>
            </w:r>
            <w:r>
              <w:rPr>
                <w:rFonts w:eastAsia="Times New Roman"/>
                <w:sz w:val="22"/>
              </w:rPr>
              <w:t>9. It is recommended to download and register the WeChat app in advance.</w:t>
            </w:r>
            <w:bookmarkEnd w:id="34"/>
            <w:bookmark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36" w:name="contactTitle"/>
            <w:r>
              <w:rPr>
                <w:rFonts w:eastAsia="Times New Roman"/>
                <w:sz w:val="22"/>
              </w:rPr>
              <w:t>Contact information of the organizer</w:t>
            </w:r>
            <w:bookmarkEnd w:id="36"/>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7" w:name="projectContactPersonsEnTitle"/>
            <w:r>
              <w:rPr>
                <w:rFonts w:eastAsia="Times New Roman"/>
                <w:sz w:val="22"/>
              </w:rPr>
              <w:t>Contact person for the program</w:t>
            </w:r>
            <w:bookmarkEnd w:id="37"/>
          </w:p>
        </w:tc>
        <w:tc>
          <w:tcPr>
            <w:tcW w:w="603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lang w:val="de-DE"/>
              </w:rPr>
            </w:pPr>
            <w:bookmarkStart w:id="38" w:name="projectContactPersonsEn"/>
            <w:r>
              <w:rPr>
                <w:rFonts w:eastAsia="Times New Roman"/>
                <w:sz w:val="22"/>
              </w:rPr>
              <w:t>Mr.PENG Hao</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lang w:val="de-DE"/>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9" w:name="projectContactTelsEnTitle"/>
            <w:r>
              <w:rPr>
                <w:rFonts w:eastAsia="Times New Roman"/>
                <w:sz w:val="22"/>
              </w:rPr>
              <w:t>Office phone</w:t>
            </w:r>
            <w:bookmarkEnd w:id="39"/>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0" w:name="projectContactTelsEn"/>
            <w:r>
              <w:rPr>
                <w:rFonts w:eastAsia="Times New Roman"/>
                <w:sz w:val="22"/>
              </w:rPr>
              <w:t>0086-10-53218352(Mr.PENG)</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1" w:name="projectContactMobilesEnTitle"/>
            <w:r>
              <w:rPr>
                <w:rFonts w:eastAsia="Times New Roman"/>
                <w:sz w:val="22"/>
              </w:rPr>
              <w:t>Mobile phone</w:t>
            </w:r>
            <w:bookmarkEnd w:id="41"/>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2" w:name="projectContactMobilesEn"/>
            <w:r>
              <w:rPr>
                <w:rFonts w:eastAsia="Times New Roman"/>
                <w:sz w:val="22"/>
              </w:rPr>
              <w:t>0086-15811250200(Mr.PENG)</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12" w:right="-107" w:rightChars="-51" w:hanging="112" w:hangingChars="51"/>
              <w:jc w:val="center"/>
              <w:rPr>
                <w:color w:val="000000"/>
              </w:rPr>
            </w:pPr>
            <w:bookmarkStart w:id="43" w:name="projectContactFaxsEnTitle"/>
            <w:r>
              <w:rPr>
                <w:rFonts w:eastAsia="Times New Roman"/>
                <w:sz w:val="22"/>
              </w:rPr>
              <w:t>Fax</w:t>
            </w:r>
            <w:bookmarkEnd w:id="43"/>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4" w:name="projectContactFaxsEn"/>
            <w:r>
              <w:rPr>
                <w:rFonts w:eastAsia="Times New Roman"/>
                <w:sz w:val="22"/>
              </w:rPr>
              <w:t>0086-10-53218357(Mr.PENG)</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12" w:right="-107" w:rightChars="-51" w:hanging="112" w:hangingChars="51"/>
              <w:jc w:val="center"/>
              <w:rPr>
                <w:color w:val="000000"/>
              </w:rPr>
            </w:pPr>
            <w:bookmarkStart w:id="45" w:name="projectContactEmailsEnTitle"/>
            <w:r>
              <w:rPr>
                <w:rFonts w:eastAsia="Times New Roman"/>
                <w:sz w:val="22"/>
              </w:rPr>
              <w:t>E-mail</w:t>
            </w:r>
            <w:bookmarkEnd w:id="45"/>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6" w:name="projectContactEmailsEn"/>
            <w:r>
              <w:rPr>
                <w:rFonts w:eastAsia="Times New Roman"/>
                <w:sz w:val="22"/>
              </w:rPr>
              <w:t>biotechonfood@126.com(Mr.PENG)</w:t>
            </w:r>
            <w:bookmarkEnd w:id="4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12" w:right="-107" w:rightChars="-51" w:hanging="112" w:hangingChars="51"/>
              <w:jc w:val="center"/>
              <w:rPr>
                <w:color w:val="000000"/>
              </w:rPr>
            </w:pPr>
            <w:bookmarkStart w:id="47" w:name="projectAgAddressEnTitle"/>
            <w:r>
              <w:rPr>
                <w:rFonts w:eastAsia="Times New Roman"/>
                <w:sz w:val="22"/>
              </w:rPr>
              <w:t>Address</w:t>
            </w:r>
            <w:bookmarkEnd w:id="47"/>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pPr>
            <w:bookmarkStart w:id="48" w:name="projectAgAddressEn"/>
            <w:r>
              <w:rPr>
                <w:rFonts w:eastAsia="Times New Roman"/>
                <w:sz w:val="22"/>
              </w:rPr>
              <w:t>Yard 24, Jiuxianqiao Middle Road, Chaoyang District, Beijing City</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9" w:name="projectAgDescriptionEnTitle"/>
            <w:r>
              <w:rPr>
                <w:rFonts w:eastAsia="Times New Roman"/>
                <w:sz w:val="22"/>
              </w:rPr>
              <w:t>About the Organizer</w:t>
            </w:r>
            <w:bookmarkEnd w:id="49"/>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0" w:name="projectAgDescriptionEn"/>
            <w:r>
              <w:rPr>
                <w:rFonts w:eastAsia="Times New Roman"/>
                <w:sz w:val="22"/>
              </w:rPr>
              <w:t>China National Research Institute of Food and Fermentation Industries Corporation Limited (hereinafter referred to as CNRIFFI) was founded in 1955. It is a wholly-owned subsidiary of China National Light Industry Council under Poly Group Corporation Limited, a Fortune Global 500 enterprise. As a time-honored, large-scale and nationally leading research institution with strong comprehensive strength in China, CNRIFFI serves as a critical technical support platform for China’s food industry and a founder of multiple food sectors in the country. Relying on its strong technical capabilities, CNRIFFI has established an authoritative position in the development of new food products, technological research and development, standard formulation, quality inspection and other fields.</w:t>
            </w:r>
            <w:r>
              <w:rPr>
                <w:rFonts w:eastAsia="Times New Roman"/>
                <w:sz w:val="22"/>
              </w:rPr>
              <w:br w:type="textWrapping" w:clear="all"/>
            </w:r>
            <w:r>
              <w:rPr>
                <w:rFonts w:eastAsia="Times New Roman"/>
                <w:sz w:val="22"/>
              </w:rPr>
              <w:t>Since 2005, CNRIFFI has continuously undertaken more than 290 training programs sponsored by the Chinese government for officials and technical personnel from developing countries. Over 11,000 officials and technical personnel from 138 developing countries and regions have participated in the training. The training themes cover food safety inspection and management, application of biotechnology in the food industry, agricultural product processing, food processing and preservation technology, fruit processing and comprehensive utilization, grain processing and testing technology, and alcohol circulation management and promotion.</w:t>
            </w:r>
            <w:r>
              <w:rPr>
                <w:rFonts w:eastAsia="Times New Roman"/>
                <w:sz w:val="22"/>
              </w:rPr>
              <w:br w:type="textWrapping" w:clear="all"/>
            </w:r>
            <w:r>
              <w:rPr>
                <w:rFonts w:eastAsia="Times New Roman"/>
                <w:sz w:val="22"/>
              </w:rPr>
              <w:t>Among them, programs themed “Food Safety Management” and “Food Ingredients and Safety” have been undertaken by the Institute for many times, becoming its classic programs and widely recognized and praised by all parties. Over the years, the Institute has been actively summarizing successful experience and continuously absorbing suggestions from participants. It has earnestly studied, carefully prepared, and updated and improved training methods, teaching plans, teaching faculty, practical visits and other components in keeping with the times. All work has achieved standardization, normalization and refinement.</w:t>
            </w:r>
            <w:bookmarkEnd w:id="5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1" w:name="projectAgContentEnTitle"/>
            <w:r>
              <w:rPr>
                <w:rFonts w:eastAsia="Times New Roman"/>
                <w:sz w:val="22"/>
              </w:rPr>
              <w:t>Training content</w:t>
            </w:r>
            <w:bookmarkEnd w:id="51"/>
          </w:p>
        </w:tc>
        <w:tc>
          <w:tcPr>
            <w:tcW w:w="8457" w:type="dxa"/>
            <w:gridSpan w:val="6"/>
            <w:tcBorders>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2" w:name="projectAgContentEn"/>
            <w:r>
              <w:rPr>
                <w:rFonts w:eastAsia="Times New Roman"/>
                <w:sz w:val="22"/>
              </w:rPr>
              <w:t>Ⅰ. Contents</w:t>
            </w:r>
            <w:r>
              <w:rPr>
                <w:rFonts w:eastAsia="Times New Roman"/>
                <w:sz w:val="22"/>
              </w:rPr>
              <w:br w:type="textWrapping" w:clear="all"/>
            </w:r>
            <w:r>
              <w:rPr>
                <w:rFonts w:eastAsia="Times New Roman"/>
                <w:sz w:val="22"/>
              </w:rPr>
              <w:t>1. Lectures (subject to change based on actual circumstances</w:t>
            </w:r>
            <w:r>
              <w:rPr>
                <w:rFonts w:eastAsia="Times New Roman"/>
                <w:sz w:val="22"/>
              </w:rPr>
              <w:t>)</w:t>
            </w:r>
            <w:r>
              <w:rPr>
                <w:rFonts w:eastAsia="Times New Roman"/>
                <w:sz w:val="22"/>
              </w:rPr>
              <w:br w:type="textWrapping" w:clear="all"/>
            </w:r>
            <w:r>
              <w:rPr>
                <w:rFonts w:eastAsia="Times New Roman"/>
                <w:sz w:val="22"/>
              </w:rPr>
              <w:t>(1) Overview of China's National Conditions: A systematic introduction to the current development status and overall characteristics of China in politics, economy, society, culture and other fields.</w:t>
            </w:r>
            <w:r>
              <w:rPr>
                <w:rFonts w:eastAsia="Times New Roman"/>
                <w:sz w:val="22"/>
              </w:rPr>
              <w:br w:type="textWrapping" w:clear="all"/>
            </w:r>
            <w:r>
              <w:rPr>
                <w:rFonts w:eastAsia="Times New Roman"/>
                <w:sz w:val="22"/>
              </w:rPr>
              <w:t>(2) Development of Women and Children and Poverty Alleviation: Focusing on the policies and measures of China in the new era for protecting the rights and interests of women and children, as well as their role and effectiveness in poverty alleviation and sustainable development.</w:t>
            </w:r>
            <w:r>
              <w:rPr>
                <w:rFonts w:eastAsia="Times New Roman"/>
                <w:sz w:val="22"/>
              </w:rPr>
              <w:br w:type="textWrapping" w:clear="all"/>
            </w:r>
            <w:r>
              <w:rPr>
                <w:rFonts w:eastAsia="Times New Roman"/>
                <w:sz w:val="22"/>
              </w:rPr>
              <w:t>(3) Compliance Management and Risk Prevention of Food Additives: A systematic explanation of the legal and regulatory system, application standards and compliance assessment procedures for food additives, with a focus on analyzing the similarities and differences between international and Chinese food additive regulatory frameworks.</w:t>
            </w:r>
            <w:r>
              <w:rPr>
                <w:rFonts w:eastAsia="Times New Roman"/>
                <w:sz w:val="22"/>
              </w:rPr>
              <w:br w:type="textWrapping" w:clear="all"/>
            </w:r>
            <w:r>
              <w:rPr>
                <w:rFonts w:eastAsia="Times New Roman"/>
                <w:sz w:val="22"/>
              </w:rPr>
              <w:t>(4) Management Requirements and Testing Methods for Potentially Added Non-Edible Substances in Food: Focusing on regulatory policies and testing technologies for illegal food additives (such as industrial dyes, prohibited drugs, chemical residues, etc.), introducing rapid screening methods (e.g., colloidal gold test strips, Raman spectroscopy) and confirmatory detection methods (LC-MS/MS, GC-MS), and discussing risk traceability and emergency management strategies through typical cases.</w:t>
            </w:r>
            <w:r>
              <w:rPr>
                <w:rFonts w:eastAsia="Times New Roman"/>
                <w:sz w:val="22"/>
              </w:rPr>
              <w:br w:type="textWrapping" w:clear="all"/>
            </w:r>
            <w:r>
              <w:rPr>
                <w:rFonts w:eastAsia="Times New Roman"/>
                <w:sz w:val="22"/>
              </w:rPr>
              <w:t>(5) Core Production Technologies of Food Additives: An in-depth explanation of the industrial production processes and key technologies of food additives, including process optimization methods such as microbial fermentation (e.g., probiotics, enzyme preparations), chemical synthesis (e.g., preservatives, antioxidants), and natural product extraction (e.g., colorants, flavors). It also covers additive purification, stability control, innovation in green production processes, and the application of quality management systems (GMP/HACCP).</w:t>
            </w:r>
            <w:r>
              <w:rPr>
                <w:rFonts w:eastAsia="Times New Roman"/>
                <w:sz w:val="22"/>
              </w:rPr>
              <w:br w:type="textWrapping" w:clear="all"/>
            </w:r>
            <w:r>
              <w:rPr>
                <w:rFonts w:eastAsia="Times New Roman"/>
                <w:sz w:val="22"/>
              </w:rPr>
              <w:t xml:space="preserve">(6) Regulatory Policies and Progress of Novel Food Ingredients: Sorting out the global </w:t>
            </w:r>
            <w:r>
              <w:rPr>
                <w:rFonts w:eastAsia="Times New Roman"/>
                <w:sz w:val="22"/>
              </w:rPr>
              <w:t>regulatory framework for novel food ingredients (e.g., plant extracts, microbial protein, insect protein, etc.), with a focus on interpreting the application procedures, toxicological evaluation requirements and approval updates of China's Measures for the Safety Review and Administration of Novel Food Ingredients. Combined with cutting-edge cases such as cell-cultured meat and algal protein, it explores the development trend of coordination between technological innovation and regulation.</w:t>
            </w:r>
            <w:r>
              <w:rPr>
                <w:rFonts w:eastAsia="Times New Roman"/>
                <w:sz w:val="22"/>
              </w:rPr>
              <w:br w:type="textWrapping" w:clear="all"/>
            </w:r>
            <w:r>
              <w:rPr>
                <w:rFonts w:eastAsia="Times New Roman"/>
                <w:sz w:val="22"/>
              </w:rPr>
              <w:t xml:space="preserve">2. Cultural </w:t>
            </w:r>
            <w:r>
              <w:rPr>
                <w:rFonts w:eastAsia="Times New Roman"/>
                <w:sz w:val="22"/>
              </w:rPr>
              <w:t>Experience</w:t>
            </w:r>
            <w:r>
              <w:rPr>
                <w:rFonts w:eastAsia="Times New Roman"/>
                <w:sz w:val="22"/>
              </w:rPr>
              <w:br w:type="textWrapping" w:clear="all"/>
            </w:r>
            <w:r>
              <w:rPr>
                <w:rFonts w:eastAsia="Times New Roman"/>
                <w:sz w:val="22"/>
              </w:rPr>
              <w:t>(1) Participants will be arranged to visit the Great Wall, to appreciate the millennia-long accumulation and resilient spirit of Chinese civilization.</w:t>
            </w:r>
            <w:r>
              <w:rPr>
                <w:rFonts w:eastAsia="Times New Roman"/>
                <w:sz w:val="22"/>
              </w:rPr>
              <w:br w:type="textWrapping" w:clear="all"/>
            </w:r>
            <w:r>
              <w:rPr>
                <w:rFonts w:eastAsia="Times New Roman"/>
                <w:sz w:val="22"/>
              </w:rPr>
              <w:t>(2) Participants will be arranged to watch acrobatic shows, to experience the charm of traditional art that combines strength and beauty, skill and thrill.</w:t>
            </w:r>
            <w:r>
              <w:rPr>
                <w:rFonts w:eastAsia="Times New Roman"/>
                <w:sz w:val="22"/>
              </w:rPr>
              <w:br w:type="textWrapping" w:clear="all"/>
            </w:r>
            <w:r>
              <w:rPr>
                <w:rFonts w:eastAsia="Times New Roman"/>
                <w:sz w:val="22"/>
              </w:rPr>
              <w:br w:type="textWrapping" w:clear="all"/>
            </w:r>
            <w:r>
              <w:rPr>
                <w:rFonts w:eastAsia="Times New Roman"/>
                <w:sz w:val="22"/>
              </w:rPr>
              <w:t>Ⅱ. Field Visits (subject to change based on actual circumstances)</w:t>
            </w:r>
            <w:r>
              <w:rPr>
                <w:rFonts w:eastAsia="Times New Roman"/>
                <w:sz w:val="22"/>
              </w:rPr>
              <w:br w:type="textWrapping" w:clear="all"/>
            </w:r>
            <w:r>
              <w:rPr>
                <w:rFonts w:eastAsia="Times New Roman"/>
                <w:sz w:val="22"/>
              </w:rPr>
              <w:t>It is planned to organize participants to conduct on-site visits and inspections in Shanghai, focusing on enterprises, public institutions, research institutes and universities engaged in the production and application of food additives. Through on-site teaching and practical exchanges, participants will be assisted in effectively applying the knowledge acquired in class to the food industry, so as to support the compliant use of food additives in developing countries. In addition, visits to demonstration sites for new rural development will be arranged, enabling participants to experience firsthand the remarkable achievements China has made in economic development, social progress, education improvement and cultural advancement since the reform and opening-up.</w:t>
            </w:r>
            <w:r>
              <w:rPr>
                <w:rFonts w:eastAsia="Times New Roman"/>
                <w:sz w:val="22"/>
              </w:rPr>
              <w:br w:type="textWrapping" w:clear="all"/>
            </w:r>
            <w:r>
              <w:rPr>
                <w:rFonts w:eastAsia="Times New Roman"/>
                <w:sz w:val="22"/>
              </w:rPr>
              <w:br w:type="textWrapping" w:clear="all"/>
            </w:r>
            <w:r>
              <w:rPr>
                <w:rFonts w:eastAsia="Times New Roman"/>
                <w:sz w:val="22"/>
              </w:rPr>
              <w:t>Ⅲ. Lecturer Profile (subject to change based on actual circumstances</w:t>
            </w:r>
            <w:r>
              <w:rPr>
                <w:rFonts w:eastAsia="Times New Roman"/>
                <w:sz w:val="22"/>
              </w:rPr>
              <w:t>)</w:t>
            </w:r>
            <w:r>
              <w:rPr>
                <w:rFonts w:eastAsia="Times New Roman"/>
                <w:sz w:val="22"/>
              </w:rPr>
              <w:br w:type="textWrapping" w:clear="all"/>
            </w:r>
            <w:r>
              <w:rPr>
                <w:rFonts w:eastAsia="Times New Roman"/>
                <w:sz w:val="22"/>
              </w:rPr>
              <w:t>(1)Wang Quanhuo: Associate Professor and Postgraduate Supervisor at the University of International Business and Economics. He once served as First Secretary of the Economic and Commercial Counsellor’s Office at the Embassy of the People’s Republic of China in Israel and Independent First Secretary of the Economic and Commercial Counsellor’s Office at the Embassy of the People’s Republic of China in the Kingdom of Tonga, with extensive experience in international economic and trade cooperation and diplomatic practice.</w:t>
            </w:r>
            <w:r>
              <w:rPr>
                <w:rFonts w:eastAsia="Times New Roman"/>
                <w:sz w:val="22"/>
              </w:rPr>
              <w:br w:type="textWrapping" w:clear="all"/>
            </w:r>
            <w:r>
              <w:rPr>
                <w:rFonts w:eastAsia="Times New Roman"/>
                <w:sz w:val="22"/>
              </w:rPr>
              <w:t>(2)Yang Baozhen: Former Consul at the Embassies and Consulates of the People’s Republic of China in Belgium, France, Gabon and other countries. She has long been engaged in international cooperation and the cause of women’s advancement, and has received honors including the "China-Africa Outstanding Women Contribution Award".</w:t>
            </w:r>
            <w:r>
              <w:rPr>
                <w:rFonts w:eastAsia="Times New Roman"/>
                <w:sz w:val="22"/>
              </w:rPr>
              <w:br w:type="textWrapping" w:clear="all"/>
            </w:r>
            <w:r>
              <w:rPr>
                <w:rFonts w:eastAsia="Times New Roman"/>
                <w:sz w:val="22"/>
              </w:rPr>
              <w:t>(3)Chen Nannan: Senior Engineer at China National Research Institute of Food and Fermentation Industries Co., Ltd. She has long been engaged in research on quality, safety and methodological standardization of fermentation and functional food ingredients, formulation and revision of standards, and compliance consultation. She has presided over and participated in the drafting of more than 30 standards related to enzyme preparations and functional fermented foods.</w:t>
            </w:r>
            <w:r>
              <w:rPr>
                <w:rFonts w:eastAsia="Times New Roman"/>
                <w:sz w:val="22"/>
              </w:rPr>
              <w:br w:type="textWrapping" w:clear="all"/>
            </w:r>
            <w:r>
              <w:rPr>
                <w:rFonts w:eastAsia="Times New Roman"/>
                <w:sz w:val="22"/>
              </w:rPr>
              <w:t>(4)Wu Yongning: Academician of the International Academy of Food Science and Technology, Chief Technical Expert of the China National Center for Food Safety Risk Assessment, Director of the Key Laboratory of the National Health Commission, and Director of the WHO Collaborating Center for Food Contamination Monitoring (China).</w:t>
            </w:r>
            <w:r>
              <w:rPr>
                <w:rFonts w:eastAsia="Times New Roman"/>
                <w:sz w:val="22"/>
              </w:rPr>
              <w:br w:type="textWrapping" w:clear="all"/>
            </w:r>
            <w:r>
              <w:rPr>
                <w:rFonts w:eastAsia="Times New Roman"/>
                <w:sz w:val="22"/>
              </w:rPr>
              <w:t>(5)Ren Difeng: Professor at Beijing Forestry University. His research mainly focuses on food nutrition and functional food development, utilization of plant resources and natural products, processing and storage engineering of agricultural and forestry products.</w:t>
            </w:r>
            <w:r>
              <w:rPr>
                <w:rFonts w:eastAsia="Times New Roman"/>
                <w:sz w:val="22"/>
              </w:rPr>
              <w:br w:type="textWrapping" w:clear="all"/>
            </w:r>
            <w:r>
              <w:rPr>
                <w:rFonts w:eastAsia="Times New Roman"/>
                <w:sz w:val="22"/>
              </w:rPr>
              <w:t>(6)Song Yan: Leader of the Hazard Assessment Discipline in the Assessment Team and Deputy Director of the Third Risk Assessment Department at the China National Center for Food Safety Risk Assessment. She holds a PhD and is a research fellow, with main research interests in chemical risk assessment and food toxicology.</w:t>
            </w:r>
            <w:bookmarkEnd w:id="52"/>
          </w:p>
        </w:tc>
      </w:tr>
    </w:tbl>
    <w:p>
      <w:pPr>
        <w:spacing w:after="156" w:afterLines="50" w:line="500" w:lineRule="exact"/>
        <w:rPr>
          <w:rFonts w:eastAsia="黑体"/>
          <w:b/>
          <w:color w:val="000000"/>
          <w:sz w:val="36"/>
          <w:szCs w:val="36"/>
        </w:rPr>
      </w:pPr>
    </w:p>
    <w:sectPr>
      <w:headerReference r:id="rId3" w:type="default"/>
      <w:pgSz w:w="11906" w:h="16838"/>
      <w:pgMar w:top="1134"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38C"/>
    <w:multiLevelType w:val="multilevel"/>
    <w:tmpl w:val="27E2338C"/>
    <w:lvl w:ilvl="0" w:tentative="0">
      <w:start w:val="1"/>
      <w:numFmt w:val="decimal"/>
      <w:pStyle w:val="14"/>
      <w:lvlText w:val="%1a."/>
      <w:lvlJc w:val="left"/>
      <w:pPr>
        <w:tabs>
          <w:tab w:val="left" w:pos="425"/>
        </w:tabs>
        <w:ind w:left="425" w:hanging="425"/>
      </w:pPr>
      <w:rPr>
        <w:rFonts w:hint="eastAsia" w:ascii="宋体" w:eastAsia="宋体"/>
        <w:b w:val="0"/>
        <w:i w:val="0"/>
        <w:sz w:val="28"/>
        <w:szCs w:val="28"/>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09BF"/>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3C65"/>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77F2521"/>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0"/>
    <w:rPr>
      <w:kern w:val="0"/>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Char"/>
    <w:link w:val="2"/>
    <w:semiHidden/>
    <w:qFormat/>
    <w:uiPriority w:val="0"/>
    <w:rPr>
      <w:rFonts w:ascii="Times New Roman" w:hAnsi="Times New Roman" w:eastAsia="宋体" w:cs="Times New Roman"/>
      <w:sz w:val="18"/>
      <w:szCs w:val="18"/>
    </w:rPr>
  </w:style>
  <w:style w:type="character" w:customStyle="1" w:styleId="9">
    <w:name w:val="页脚 Char"/>
    <w:link w:val="3"/>
    <w:qFormat/>
    <w:uiPriority w:val="99"/>
    <w:rPr>
      <w:rFonts w:ascii="Times New Roman" w:hAnsi="Times New Roman"/>
      <w:kern w:val="2"/>
      <w:sz w:val="18"/>
      <w:szCs w:val="18"/>
    </w:rPr>
  </w:style>
  <w:style w:type="character" w:customStyle="1" w:styleId="10">
    <w:name w:val="页眉 Char"/>
    <w:link w:val="4"/>
    <w:qFormat/>
    <w:uiPriority w:val="99"/>
    <w:rPr>
      <w:rFonts w:ascii="Times New Roman" w:hAnsi="Times New Roman"/>
      <w:kern w:val="2"/>
      <w:sz w:val="18"/>
      <w:szCs w:val="18"/>
    </w:rPr>
  </w:style>
  <w:style w:type="character" w:customStyle="1" w:styleId="11">
    <w:name w:val="apple-converted-space"/>
    <w:qFormat/>
    <w:uiPriority w:val="0"/>
  </w:style>
  <w:style w:type="character" w:customStyle="1" w:styleId="12">
    <w:name w:val="apple-style-span"/>
    <w:qFormat/>
    <w:uiPriority w:val="0"/>
  </w:style>
  <w:style w:type="paragraph" w:customStyle="1" w:styleId="13">
    <w:name w:val="p0"/>
    <w:basedOn w:val="1"/>
    <w:qFormat/>
    <w:uiPriority w:val="0"/>
    <w:pPr>
      <w:widowControl/>
    </w:pPr>
    <w:rPr>
      <w:kern w:val="0"/>
      <w:szCs w:val="21"/>
    </w:rPr>
  </w:style>
  <w:style w:type="paragraph" w:customStyle="1" w:styleId="14">
    <w:name w:val="Char"/>
    <w:basedOn w:val="1"/>
    <w:next w:val="1"/>
    <w:qFormat/>
    <w:uiPriority w:val="0"/>
    <w:pPr>
      <w:pageBreakBefore/>
      <w:numPr>
        <w:ilvl w:val="0"/>
        <w:numId w:val="1"/>
      </w:numPr>
      <w:spacing w:line="400" w:lineRule="exact"/>
    </w:pPr>
    <w:rPr>
      <w:rFonts w:eastAsia="黑体"/>
      <w:sz w:val="32"/>
      <w:szCs w:val="32"/>
    </w:rPr>
  </w:style>
  <w:style w:type="paragraph" w:customStyle="1" w:styleId="15">
    <w:name w:val="_Style 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2026-07-02T11:59:24+00:00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7A7EA-B451-45C3-AA73-1424114200F0}"/>
</file>

<file path=customXml/itemProps3.xml><?xml version="1.0" encoding="utf-8"?>
<ds:datastoreItem xmlns:ds="http://schemas.openxmlformats.org/officeDocument/2006/customXml" ds:itemID="{B9930C24-2DBF-4029-B834-F8F3024743A0}"/>
</file>

<file path=customXml/itemProps4.xml><?xml version="1.0" encoding="utf-8"?>
<ds:datastoreItem xmlns:ds="http://schemas.openxmlformats.org/officeDocument/2006/customXml" ds:itemID="{3D8AFC48-5764-40EF-8D13-9A1466FEEC9E}"/>
</file>

<file path=docProps/app.xml><?xml version="1.0" encoding="utf-8"?>
<Properties xmlns="http://schemas.openxmlformats.org/officeDocument/2006/extended-properties" xmlns:vt="http://schemas.openxmlformats.org/officeDocument/2006/docPropsVTypes">
  <Template>Normal</Template>
  <Pages>6</Pages>
  <Words>2067</Words>
  <Characters>11786</Characters>
  <Lines>98</Lines>
  <Paragraphs>27</Paragraphs>
  <TotalTime>0</TotalTime>
  <ScaleCrop>false</ScaleCrop>
  <LinksUpToDate>false</LinksUpToDate>
  <CharactersWithSpaces>13826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Amy</dc:creator>
  <cp:lastModifiedBy>ShiYongRen</cp:lastModifiedBy>
  <cp:revision>2</cp:revision>
  <cp:lastPrinted>2016-02-24T06:55:00Z</cp:lastPrinted>
  <dcterms:created xsi:type="dcterms:W3CDTF">2026-05-20T01:47:00Z</dcterms:created>
  <dcterms:modified xsi:type="dcterms:W3CDTF">2026-06-25T16:12:56Z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0AC38DCDD12E4D038DE90E87A4D3B4F1</vt:lpwstr>
  </property>
  <property fmtid="{D5CDD505-2E9C-101B-9397-08002B2CF9AE}" pid="4" name="ContentTypeId">
    <vt:lpwstr>0x010100FDB37311BB72A8429F6B11DE0211136C</vt:lpwstr>
  </property>
</Properties>
</file>