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cs="Times New Roman"/>
          <w:b/>
          <w:sz w:val="30"/>
        </w:rPr>
        <w:t>Training Course for Officials from Developing Countries on Addressing Climate Change and Sustainable Marine Development</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eastAsia="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eastAsia="Times New Roman"/>
                <w:sz w:val="22"/>
              </w:rPr>
              <w:t>Training Course for Officials from Developing Countries on Addressing Climate Change and Sustainable Marine Development</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eastAsia="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eastAsia="Times New Roman"/>
                <w:sz w:val="22"/>
              </w:rPr>
              <w:t>Hainan University</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eastAsia="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eastAsia="Times New Roman"/>
                <w:sz w:val="22"/>
              </w:rPr>
              <w:t>2026-10-12</w:t>
            </w:r>
            <w:bookmarkEnd w:id="6"/>
            <w:r>
              <w:rPr>
                <w:rFonts w:hint="eastAsia"/>
                <w:color w:val="000000"/>
                <w:szCs w:val="21"/>
              </w:rPr>
              <w:t xml:space="preserve"> -- </w:t>
            </w:r>
            <w:bookmarkStart w:id="7" w:name="projectEndDateEn"/>
            <w:r>
              <w:rPr>
                <w:rFonts w:eastAsia="Times New Roman"/>
                <w:sz w:val="22"/>
              </w:rPr>
              <w:t>2026-10-25</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eastAsia="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eastAsia="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eastAsia="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eastAsia="Times New Roman"/>
                <w:sz w:val="22"/>
              </w:rPr>
              <w:t>Government officials, experts and scholars, as well as enterprise managers from developing countries specializing in climate change and marine sustainable development</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eastAsia="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axEn"/>
            <w:bookmarkStart w:id="14" w:name="prcEstimateNumEn"/>
            <w:bookmarkStart w:id="15" w:name="projectPersonNumMinEn"/>
            <w:r>
              <w:rPr>
                <w:rFonts w:eastAsia="Times New Roman"/>
                <w:sz w:val="22"/>
              </w:rPr>
              <w:t>30</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eastAsia="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eastAsia="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eastAsia="Times New Roman"/>
                <w:sz w:val="22"/>
              </w:rPr>
              <w:t>Under 45 for officials at or under director’s level; Under 50 for officials at and above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eastAsia="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eastAsia="Times New Roman"/>
                <w:sz w:val="22"/>
              </w:rPr>
              <w:t>In good health with health certificate issued by the local public hospitals; free from any diseases whose entry is prohibited under Chinese laws and regulations; without severe chronic diseases such as severe hypertension, cardiovascular/cerebrovascular diseases and diabetes; without metal diseases or epidemic diseases that are likely to cause serious threat to public health; not in the process of recovering after a major surgery or in the acute phase of an illness; free from severe physical disabilities; and not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eastAsia="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eastAsia="Times New Roman"/>
                <w:sz w:val="22"/>
              </w:rPr>
              <w:t>English listening, speaking, reading, and writing proficiency meets instructional requirements.</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eastAsia="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eastAsia="Times New Roman"/>
                <w:sz w:val="22"/>
              </w:rPr>
              <w:t>Participants are not permitted to bring spouses or relatives during the training program.</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eastAsia="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eastAsia="Times New Roman"/>
                <w:sz w:val="22"/>
              </w:rPr>
              <w:t>Haikou city, Hainan province</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eastAsia="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eastAsia="Times New Roman"/>
                <w:sz w:val="22"/>
              </w:rPr>
              <w:t>19℃~28℃</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eastAsia="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eastAsia="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eastAsia="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eastAsia="Times New Roman"/>
                <w:sz w:val="22"/>
              </w:rPr>
              <w:t>Shenzhen City, Guangdong province:17℃~28℃</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eastAsia="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eastAsia="Times New Roman"/>
                <w:sz w:val="22"/>
              </w:rPr>
              <w:t>1. Please prepare materials related to the theme in advance.</w:t>
            </w:r>
            <w:r>
              <w:rPr>
                <w:rFonts w:eastAsia="Times New Roman"/>
                <w:sz w:val="22"/>
              </w:rPr>
              <w:br w:type="textWrapping" w:clear="all"/>
            </w:r>
            <w:r>
              <w:rPr>
                <w:rFonts w:eastAsia="Times New Roman"/>
                <w:sz w:val="22"/>
              </w:rPr>
              <w:t xml:space="preserve">2. Please wear formal attire, traditional ethnic clothing, or work uniforms for formal events. </w:t>
            </w:r>
            <w:r>
              <w:rPr>
                <w:rFonts w:eastAsia="Times New Roman"/>
                <w:sz w:val="22"/>
              </w:rPr>
              <w:br w:type="textWrapping" w:clear="all"/>
            </w:r>
            <w:r>
              <w:rPr>
                <w:rFonts w:eastAsia="Times New Roman"/>
                <w:sz w:val="22"/>
              </w:rPr>
              <w:t>3. Please bring commonly used medications.</w:t>
            </w:r>
            <w:r>
              <w:rPr>
                <w:rFonts w:eastAsia="Times New Roman"/>
                <w:sz w:val="22"/>
              </w:rPr>
              <w:br w:type="textWrapping" w:clear="all"/>
            </w:r>
            <w:r>
              <w:rPr>
                <w:rFonts w:eastAsia="Times New Roman"/>
                <w:sz w:val="22"/>
              </w:rPr>
              <w:t>4. Please bring your own computer if needed as they are not provided by the Chinese side.</w:t>
            </w:r>
            <w:r>
              <w:rPr>
                <w:rFonts w:eastAsia="Times New Roman"/>
                <w:sz w:val="22"/>
              </w:rPr>
              <w:br w:type="textWrapping" w:clear="all"/>
            </w:r>
            <w:r>
              <w:rPr>
                <w:rFonts w:eastAsia="Times New Roman"/>
                <w:sz w:val="22"/>
              </w:rPr>
              <w:t xml:space="preserve">5. Personal changes to flight tickets to and from China are not permitted. If such changes are essential, please contact the Economic and Commercial Office of the Chinese Embassy in your country to make the necessary arrangements. </w:t>
            </w:r>
            <w:r>
              <w:rPr>
                <w:rFonts w:eastAsia="Times New Roman"/>
                <w:sz w:val="22"/>
              </w:rPr>
              <w:br w:type="textWrapping" w:clear="all"/>
            </w:r>
            <w:r>
              <w:rPr>
                <w:rFonts w:eastAsia="Times New Roman"/>
                <w:sz w:val="22"/>
              </w:rPr>
              <w:t xml:space="preserve">6. If you are unable to depart on time due to special circumstances or experience flight delays during transit, please promptly inform the Economic and Commercial Office or the contact person of the host organization of your updated flight information to facilitate airport pickup. </w:t>
            </w:r>
            <w:r>
              <w:rPr>
                <w:rFonts w:eastAsia="Times New Roman"/>
                <w:sz w:val="22"/>
              </w:rPr>
              <w:br w:type="textWrapping" w:clear="all"/>
            </w:r>
            <w:r>
              <w:rPr>
                <w:rFonts w:eastAsia="Times New Roman"/>
                <w:sz w:val="22"/>
              </w:rPr>
              <w:t>7. During transit, please confirm whether luggage needs to be rechecked.</w:t>
            </w:r>
            <w:r>
              <w:rPr>
                <w:rFonts w:eastAsia="Times New Roman"/>
                <w:sz w:val="22"/>
              </w:rPr>
              <w:br w:type="textWrapping" w:clear="all"/>
            </w:r>
            <w:r>
              <w:rPr>
                <w:rFonts w:eastAsia="Times New Roman"/>
                <w:sz w:val="22"/>
              </w:rPr>
              <w:t>8. After collecting your luggage upon arrival, please proceed to the international or domestic arrivals exit and wait patiently for staff members who will be holding a pickup sign that reads “Hainan University”. If the wait exceeds 15 minutes, please contact the organizer.</w:t>
            </w:r>
            <w:r>
              <w:rPr>
                <w:rFonts w:eastAsia="Times New Roman"/>
                <w:sz w:val="22"/>
              </w:rPr>
              <w:br w:type="textWrapping" w:clear="all"/>
            </w:r>
            <w:r>
              <w:rPr>
                <w:rFonts w:eastAsia="Times New Roman"/>
                <w:sz w:val="22"/>
              </w:rPr>
              <w:t xml:space="preserve">9. It is recommended to download and register for </w:t>
            </w:r>
            <w:r>
              <w:rPr>
                <w:rFonts w:eastAsia="Times New Roman"/>
                <w:sz w:val="22"/>
              </w:rPr>
              <w:t>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eastAsia="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eastAsia="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eastAsia="Times New Roman"/>
                <w:sz w:val="22"/>
              </w:rPr>
              <w:t>Mr.Chen Sirui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eastAsia="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eastAsia="Times New Roman"/>
                <w:sz w:val="22"/>
              </w:rPr>
              <w:t>0086-898-66291354(Mr.Chen)</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eastAsia="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eastAsia="Times New Roman"/>
                <w:sz w:val="22"/>
              </w:rPr>
              <w:t>0086-18189809410(Mr.Chen)</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3" w:name="projectContactFaxsEnTitle"/>
            <w:r>
              <w:rPr>
                <w:rFonts w:eastAsia="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eastAsia="Times New Roman"/>
                <w:sz w:val="22"/>
              </w:rPr>
              <w:t>0086-898-66290952(Mr.Chen)</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5" w:name="projectContactEmailsEnTitle"/>
            <w:r>
              <w:rPr>
                <w:rFonts w:eastAsia="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pPr>
            <w:bookmarkStart w:id="46" w:name="projectContactEmailsEn"/>
            <w:r>
              <w:rPr>
                <w:rFonts w:eastAsia="Times New Roman"/>
                <w:sz w:val="22"/>
              </w:rPr>
              <w:t>ce-sie@hainanu.edu.cn(Mr.Chen)</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7" w:name="projectAgAddressEnTitle"/>
            <w:r>
              <w:rPr>
                <w:rFonts w:eastAsia="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pPr>
            <w:bookmarkStart w:id="48" w:name="projectAgAddressEn"/>
            <w:r>
              <w:rPr>
                <w:rFonts w:eastAsia="Times New Roman"/>
                <w:sz w:val="22"/>
              </w:rPr>
              <w:t>No.58 Renmin Avenue, Meilan District, Haikou City, Hainan Province, P.R.China</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eastAsia="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eastAsia="Times New Roman"/>
                <w:sz w:val="22"/>
              </w:rPr>
              <w:t xml:space="preserve">      Hainan University is a university included in China's Project 211 and the Double First-Class Initiative for World-Class Discipline Construction. It currently has more than 4,600 faculty and staff members, including 3,327 full-time teachers, among whom 1,993 hold senior professional titles such as professor and associate professor. The university boasts 93 national-level experts and talents, including Members of the Chinese Academy of Sciences, recipients of the National Science Fund for Distinguished Young Scholars, recipients of the National Science Fund for Excellent Young Scholars, Changjiang Scholars of the Ministry of Education, and High-level overseas talents recruited under national programs.</w:t>
            </w:r>
            <w:r>
              <w:rPr>
                <w:rFonts w:eastAsia="Times New Roman"/>
                <w:sz w:val="22"/>
              </w:rPr>
              <w:br w:type="textWrapping" w:clear="all"/>
            </w:r>
            <w:r>
              <w:rPr>
                <w:rFonts w:eastAsia="Times New Roman"/>
                <w:sz w:val="22"/>
              </w:rPr>
              <w:t xml:space="preserve">      Hainan University boasts a strong faculty team and outstanding international exchange capacity in ecological and environmental fields. It has successfully organized four foreign aid training programs commissioned by the Ministry of Commerce in 2019, 2022 and 2024, namely:①Training Course on Environmental Protection and Environmental Impact Assessment for Laos; ②Training Course on Tropical Tourism Resource Development and Environmental Protection; ③Training Course on Marine Geological Survey and Coastal Zone Environmental Protection; ④Training Course on Environmental Governance for Latin American Countries under the Global Development Initiative</w:t>
            </w:r>
            <w:r>
              <w:rPr>
                <w:rFonts w:eastAsia="Times New Roman"/>
                <w:sz w:val="22"/>
              </w:rPr>
              <w:br w:type="textWrapping" w:clear="all"/>
            </w:r>
            <w:r>
              <w:rPr>
                <w:rFonts w:eastAsia="Times New Roman"/>
                <w:sz w:val="22"/>
              </w:rPr>
              <w:t xml:space="preserve">      The university has accumulated rich experience in foreign aid training. Furthermore, Hainan University has solid scientific research and practical foundations in environmental protection, ecological restoration and biodiversity conservation. It has built industry-university-research demonstration bases with multiple enterprises, including Beijing Enterprises Water Group Limited (water pollution treatment), Hainan </w:t>
            </w:r>
            <w:r>
              <w:rPr>
                <w:rFonts w:eastAsia="Times New Roman"/>
                <w:sz w:val="22"/>
              </w:rPr>
              <w:t>Tianhong Municipal Design Co., Ltd., and Hainan Sanyou Marine Technology Co., Ltd. (mangrove and coastal zone restoration). These bases guarantee the smooth delivery of teaching, practical training and field practice sessions covering environmental protection and sustainable development.</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eastAsia="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eastAsia="Times New Roman"/>
                <w:sz w:val="22"/>
              </w:rPr>
              <w:t xml:space="preserve">Ⅰ. Contents </w:t>
            </w:r>
            <w:r>
              <w:rPr>
                <w:rFonts w:eastAsia="Times New Roman"/>
                <w:sz w:val="22"/>
              </w:rPr>
              <w:br w:type="textWrapping" w:clear="all"/>
            </w:r>
            <w:r>
              <w:rPr>
                <w:rFonts w:eastAsia="Times New Roman"/>
                <w:sz w:val="22"/>
              </w:rPr>
              <w:t>(1) Lectures (subject to change based on actual circumstances)</w:t>
            </w:r>
            <w:r>
              <w:rPr>
                <w:rFonts w:eastAsia="Times New Roman"/>
                <w:sz w:val="22"/>
              </w:rPr>
              <w:br w:type="textWrapping" w:clear="all"/>
            </w:r>
            <w:r>
              <w:rPr>
                <w:rFonts w:eastAsia="Times New Roman"/>
                <w:sz w:val="22"/>
              </w:rPr>
              <w:t>1) China’s National Conditions: Introduce China’s history, geography, politics and culture to help international participants gain a holistic understanding of Chinese society, develop cross-cultural communication capabilities, and build recognition of China’s development path and propositions.</w:t>
            </w:r>
            <w:r>
              <w:rPr>
                <w:rFonts w:eastAsia="Times New Roman"/>
                <w:sz w:val="22"/>
              </w:rPr>
              <w:br w:type="textWrapping" w:clear="all"/>
            </w:r>
            <w:r>
              <w:rPr>
                <w:rFonts w:eastAsia="Times New Roman"/>
                <w:sz w:val="22"/>
              </w:rPr>
              <w:t>2) Global Change Ecology: Analyze the root causes of greenhouse effect, carbon cycling and ozone layer depletion; study the impacts of climate change on vegetation productivity, species distribution and biodiversity, and explore adaptation mechanisms of terrestrial and marine ecosystems. Remote sensing and model simulation technologies will be used to monitor environmental changes such as glacier melting and sea level rise, providing scientific support for sustainable development. This module enables participants to systematically grasp global climate change, ecosystem responses, and effective participation in global governance.</w:t>
            </w:r>
            <w:r>
              <w:rPr>
                <w:rFonts w:eastAsia="Times New Roman"/>
                <w:sz w:val="22"/>
              </w:rPr>
              <w:br w:type="textWrapping" w:clear="all"/>
            </w:r>
            <w:r>
              <w:rPr>
                <w:rFonts w:eastAsia="Times New Roman"/>
                <w:sz w:val="22"/>
              </w:rPr>
              <w:t>3) Climate Change and Marine Ecology: Explain major marine ecosystems and marine biota, as well as risks and impacts imposed by pollution, human activities and climate change. The course deepens participants’ understanding of marine ecological environments and raises awareness of marine conservation.</w:t>
            </w:r>
            <w:r>
              <w:rPr>
                <w:rFonts w:eastAsia="Times New Roman"/>
                <w:sz w:val="22"/>
              </w:rPr>
              <w:br w:type="textWrapping" w:clear="all"/>
            </w:r>
            <w:r>
              <w:rPr>
                <w:rFonts w:eastAsia="Times New Roman"/>
                <w:sz w:val="22"/>
              </w:rPr>
              <w:t xml:space="preserve">4) Blue Carbon Sinks and Marine Ecological Compensation Mechanisms: Systematically elaborate carbon sequestration principles and measurement methodologies of blue carbon ecosystems including mangroves, salt marshes and </w:t>
            </w:r>
            <w:r>
              <w:rPr>
                <w:rFonts w:eastAsia="Times New Roman"/>
                <w:sz w:val="22"/>
              </w:rPr>
              <w:t>seagrass beds. Analyze marine carbon sink project design under the EU Emissions Trading System, and discuss policy pathways to establish market-based ecological compensation mechanisms.</w:t>
            </w:r>
            <w:r>
              <w:rPr>
                <w:rFonts w:eastAsia="Times New Roman"/>
                <w:sz w:val="22"/>
              </w:rPr>
              <w:br w:type="textWrapping" w:clear="all"/>
            </w:r>
            <w:r>
              <w:rPr>
                <w:rFonts w:eastAsia="Times New Roman"/>
                <w:sz w:val="22"/>
              </w:rPr>
              <w:t>5) Water Resources Management and Water Pollution Control: Cover cutting-edge theories and research in river, lake and wetland ecology, including water pollution prevention strategies, treatment technologies, engineering solutions and emergency response plans. The module equips participants with management strategies and methodologies for water resource governance and pollution abatement.</w:t>
            </w:r>
            <w:r>
              <w:rPr>
                <w:rFonts w:eastAsia="Times New Roman"/>
                <w:sz w:val="22"/>
              </w:rPr>
              <w:br w:type="textWrapping" w:clear="all"/>
            </w:r>
            <w:r>
              <w:rPr>
                <w:rFonts w:eastAsia="Times New Roman"/>
                <w:sz w:val="22"/>
              </w:rPr>
              <w:t>6) Environmental Assessment and Ecological Security Analysis: Focus on heavily disturbed ecosystems including vegetation zones, urban and rural areas, farmlands and river basins. Teach fundamental theories, equipment, analytical tools and technical approaches for environmental quality assessment, ecological security evaluation and ecological risk analysis, improving participants’ practical and managerial capacity to conduct environmental quality reviews and ecological risk assessments.</w:t>
            </w:r>
            <w:r>
              <w:rPr>
                <w:rFonts w:eastAsia="Times New Roman"/>
                <w:sz w:val="22"/>
              </w:rPr>
              <w:br w:type="textWrapping" w:clear="all"/>
            </w:r>
            <w:r>
              <w:rPr>
                <w:rFonts w:eastAsia="Times New Roman"/>
                <w:sz w:val="22"/>
              </w:rPr>
              <w:t>7) National Parks and Protected Area Planning: Cover planning, conservation management, scientific monitoring, ecological restoration, sustainable utilization of natural resources and ecotourism management for urban green spaces, nature reserves and national parks. The module highlights the critical role of national parks and protected areas in ecological conservation and biodiversity preservation, showcases successful practices from China and Hainan Province, and enhances participants’ capacity to design and manage similar domestic initiatives.</w:t>
            </w:r>
            <w:r>
              <w:rPr>
                <w:rFonts w:eastAsia="Times New Roman"/>
                <w:sz w:val="22"/>
              </w:rPr>
              <w:br w:type="textWrapping" w:clear="all"/>
            </w:r>
            <w:r>
              <w:rPr>
                <w:rFonts w:eastAsia="Times New Roman"/>
                <w:sz w:val="22"/>
              </w:rPr>
              <w:t>8) Land-Sea Coordinated Pollution Control and Offshore Ecological Restoration Technologies: Focus on pollutant transport pathways from land to sea and land-sea integrated governance strategies guided by marine ecological needs. Train participants on emerging pollutant monitoring, mangrove wetland restoration and artificial reef construction technologies. Formulate integrated watershed-coastal zone governance solutions through case studies worldwide.</w:t>
            </w:r>
            <w:r>
              <w:rPr>
                <w:rFonts w:eastAsia="Times New Roman"/>
                <w:sz w:val="22"/>
              </w:rPr>
              <w:br w:type="textWrapping" w:clear="all"/>
            </w:r>
            <w:r>
              <w:rPr>
                <w:rFonts w:eastAsia="Times New Roman"/>
                <w:sz w:val="22"/>
              </w:rPr>
              <w:t>9) Climate-Resilient Coastal Spatial Planning: Adopt GIS technology to simulate sea level rise risks; analyze resilient infrastructure cases including the Dutch Delta Works and Singapore’s Marina Barrage. Cover delineation of sustainable development and ecological protection redlines, and equip participants with ecosystem-based coastal planning methodologies to create coordinated solutions for storm surge defense and wildlife habitat conservation.</w:t>
            </w:r>
            <w:r>
              <w:rPr>
                <w:rFonts w:eastAsia="Times New Roman"/>
                <w:sz w:val="22"/>
              </w:rPr>
              <w:br w:type="textWrapping" w:clear="all"/>
            </w:r>
            <w:r>
              <w:rPr>
                <w:rFonts w:eastAsia="Times New Roman"/>
                <w:sz w:val="22"/>
              </w:rPr>
              <w:t xml:space="preserve">10) Chinese Laws, Regulations and Case Studies on Climate Change Mitigation and Marine Sustainable Development: Systematically interpret China’s legal framework addressing climate change and marine sustainable development, including the National Plan on Addressing Climate Change, Marine Environmental Protection Law and the dual carbon policy system. Analyze typical judicial cases such as public interest litigation for mangrove conservation, environmental inspection rectification in Hainan, and land-source pollution control in the </w:t>
            </w:r>
            <w:r>
              <w:rPr>
                <w:rFonts w:eastAsia="Times New Roman"/>
                <w:sz w:val="22"/>
              </w:rPr>
              <w:t>Bohai Bay. Dissect operational mechanisms of carbon emission trading and ecological compensation systems. Combined with local practices including the development of Shenzhen as a global marine center, discuss innovative approaches and challenges in legal implementation. The module strengthens participants’ ability to apply land-sea integrated legal instruments to deliver national climate commitments and align with international marine governance frameworks.</w:t>
            </w:r>
            <w:r>
              <w:rPr>
                <w:rFonts w:eastAsia="Times New Roman"/>
                <w:sz w:val="22"/>
              </w:rPr>
              <w:br w:type="textWrapping" w:clear="all"/>
            </w:r>
            <w:r>
              <w:rPr>
                <w:rFonts w:eastAsia="Times New Roman"/>
                <w:sz w:val="22"/>
              </w:rPr>
              <w:br w:type="textWrapping" w:clear="all"/>
            </w:r>
            <w:r>
              <w:rPr>
                <w:rFonts w:eastAsia="Times New Roman"/>
                <w:sz w:val="22"/>
              </w:rPr>
              <w:t>Ⅱ. Visits (subject to change based on actual circumstances</w:t>
            </w:r>
            <w:r>
              <w:rPr>
                <w:rFonts w:eastAsia="Times New Roman"/>
                <w:sz w:val="22"/>
              </w:rPr>
              <w:t>)</w:t>
            </w:r>
            <w:r>
              <w:rPr>
                <w:rFonts w:eastAsia="Times New Roman"/>
                <w:sz w:val="22"/>
              </w:rPr>
              <w:br w:type="textWrapping" w:clear="all"/>
            </w:r>
            <w:r>
              <w:rPr>
                <w:rFonts w:eastAsia="Times New Roman"/>
                <w:sz w:val="22"/>
              </w:rPr>
              <w:t xml:space="preserve">(1) Haikou Sites: </w:t>
            </w:r>
            <w:r>
              <w:rPr>
                <w:rFonts w:eastAsia="Times New Roman"/>
                <w:sz w:val="22"/>
              </w:rPr>
              <w:t>Dongzhai Port Mangrove National Nature Reserve &amp; Jiangdong Coastal Park.</w:t>
            </w:r>
            <w:r>
              <w:rPr>
                <w:rFonts w:eastAsia="Times New Roman"/>
                <w:sz w:val="22"/>
              </w:rPr>
              <w:br w:type="textWrapping" w:clear="all"/>
            </w:r>
            <w:r>
              <w:rPr>
                <w:rFonts w:eastAsia="Times New Roman"/>
                <w:sz w:val="22"/>
              </w:rPr>
              <w:t xml:space="preserve">    Learn about mangrove ecosystems and their multifaceted value in biodiversity conservation, coastal protection and economic development; study on-site mangrove conservation, restoration and sustainable industries including mangrove ecotourism and aquaculture.</w:t>
            </w:r>
            <w:r>
              <w:rPr>
                <w:rFonts w:eastAsia="Times New Roman"/>
                <w:sz w:val="22"/>
              </w:rPr>
              <w:br w:type="textWrapping" w:clear="all"/>
            </w:r>
            <w:r>
              <w:rPr>
                <w:rFonts w:eastAsia="Times New Roman"/>
                <w:sz w:val="22"/>
              </w:rPr>
              <w:t xml:space="preserve">    Inspect climate-resilient coastal planning projects that performed well during Super Typhoon </w:t>
            </w:r>
            <w:r>
              <w:rPr>
                <w:rFonts w:eastAsia="Times New Roman"/>
                <w:sz w:val="22"/>
              </w:rPr>
              <w:t>Mujigae; learn design concepts of resilient and eco-friendly coastal defense systems, and restoration techniques for brackish wetlands.</w:t>
            </w:r>
            <w:r>
              <w:rPr>
                <w:rFonts w:eastAsia="Times New Roman"/>
                <w:sz w:val="22"/>
              </w:rPr>
              <w:br w:type="textWrapping" w:clear="all"/>
            </w:r>
            <w:r>
              <w:rPr>
                <w:rFonts w:eastAsia="Times New Roman"/>
                <w:sz w:val="22"/>
              </w:rPr>
              <w:t xml:space="preserve">(2)Shenzhen Sites: Shenzhen Court of International Arbitration &amp; </w:t>
            </w:r>
            <w:r>
              <w:rPr>
                <w:rFonts w:eastAsia="Times New Roman"/>
                <w:sz w:val="22"/>
              </w:rPr>
              <w:t>Daya Bay Marine Risk and Disaster Observation Station under the Ministry of Natural Resources.</w:t>
            </w:r>
            <w:r>
              <w:rPr>
                <w:rFonts w:eastAsia="Times New Roman"/>
                <w:sz w:val="22"/>
              </w:rPr>
              <w:br w:type="textWrapping" w:clear="all"/>
            </w:r>
            <w:r>
              <w:rPr>
                <w:rFonts w:eastAsia="Times New Roman"/>
                <w:sz w:val="22"/>
              </w:rPr>
              <w:t xml:space="preserve">    Understand the role of the Shenzhen Court of International Arbitration in legal development and study environmental law cases on-site.</w:t>
            </w:r>
            <w:r>
              <w:rPr>
                <w:rFonts w:eastAsia="Times New Roman"/>
                <w:sz w:val="22"/>
              </w:rPr>
              <w:br w:type="textWrapping" w:clear="all"/>
            </w:r>
            <w:r>
              <w:rPr>
                <w:rFonts w:eastAsia="Times New Roman"/>
                <w:sz w:val="22"/>
              </w:rPr>
              <w:t xml:space="preserve">    Inspect the intelligent marine platform, three-dimensional marine disaster observation </w:t>
            </w:r>
            <w:r>
              <w:rPr>
                <w:rFonts w:eastAsia="Times New Roman"/>
                <w:sz w:val="22"/>
              </w:rPr>
              <w:t>network and comprehensive experimental station in Daya Bay; learn early warning and emergency response mechanisms for marine disasters.</w:t>
            </w:r>
            <w:r>
              <w:rPr>
                <w:rFonts w:eastAsia="Times New Roman"/>
                <w:sz w:val="22"/>
              </w:rPr>
              <w:br w:type="textWrapping" w:clear="all"/>
            </w:r>
            <w:r>
              <w:rPr>
                <w:rFonts w:eastAsia="Times New Roman"/>
                <w:sz w:val="22"/>
              </w:rPr>
              <w:t>(3)Cultural Experience Activities</w:t>
            </w:r>
            <w:r>
              <w:rPr>
                <w:rFonts w:eastAsia="Times New Roman"/>
                <w:sz w:val="22"/>
              </w:rPr>
              <w:br w:type="textWrapping" w:clear="all"/>
            </w:r>
            <w:r>
              <w:rPr>
                <w:rFonts w:eastAsia="Times New Roman"/>
                <w:sz w:val="22"/>
              </w:rPr>
              <w:t xml:space="preserve">     Multiple cultural experience sessions will be organized in Haikou and Shenzhen to help participants gain deeper insight into China’s profound cultural heritage and the daily lives of Chinese people.</w:t>
            </w:r>
            <w:r>
              <w:rPr>
                <w:rFonts w:eastAsia="Times New Roman"/>
                <w:sz w:val="22"/>
              </w:rPr>
              <w:br w:type="textWrapping" w:clear="all"/>
            </w:r>
            <w:r>
              <w:rPr>
                <w:rFonts w:eastAsia="Times New Roman"/>
                <w:sz w:val="22"/>
              </w:rPr>
              <w:br w:type="textWrapping" w:clear="all"/>
            </w:r>
            <w:r>
              <w:rPr>
                <w:rFonts w:eastAsia="Times New Roman"/>
                <w:sz w:val="22"/>
              </w:rPr>
              <w:t xml:space="preserve">Ⅲ. Lecturer </w:t>
            </w:r>
            <w:r>
              <w:rPr>
                <w:rFonts w:eastAsia="Times New Roman"/>
                <w:sz w:val="22"/>
              </w:rPr>
              <w:t>Profile</w:t>
            </w:r>
            <w:r>
              <w:rPr>
                <w:rFonts w:eastAsia="Times New Roman"/>
                <w:sz w:val="22"/>
              </w:rPr>
              <w:br w:type="textWrapping" w:clear="all"/>
            </w:r>
            <w:r>
              <w:rPr>
                <w:rFonts w:eastAsia="Times New Roman"/>
                <w:sz w:val="22"/>
              </w:rPr>
              <w:t>(1)Feng Jun: Associate Professor and Master’s Supervisor, School of Foreign Languages, Hainan University. He has taught oral and written translation courses for undergraduate and postgraduate English majors for years. His academic output includes over ten journal papers, nearly ten translated works, and multiple textbooks and dictionaries compiled by himself. He has presided over research projects at the provincial and university levels. He boasts extensive experience in oral and written translation services for international organizations, multinational corporations, government departments and research institutions.</w:t>
            </w:r>
            <w:r>
              <w:rPr>
                <w:rFonts w:eastAsia="Times New Roman"/>
                <w:sz w:val="22"/>
              </w:rPr>
              <w:br w:type="textWrapping" w:clear="all"/>
            </w:r>
            <w:r>
              <w:rPr>
                <w:rFonts w:eastAsia="Times New Roman"/>
                <w:sz w:val="22"/>
              </w:rPr>
              <w:t xml:space="preserve">(2)Hu </w:t>
            </w:r>
            <w:r>
              <w:rPr>
                <w:rFonts w:eastAsia="Times New Roman"/>
                <w:sz w:val="22"/>
              </w:rPr>
              <w:t>Zhongmin: Professor and Doctoral Supervisor, School of Ecology, Hainan University. Recipient of the National Excellent Young Scientists Fund, Class C High-Level Talent of Hainan Province, Chair of the Degree Committee of the Collaborative Innovation Center for Ecological Civilization of Hainan University, and Leader of the Ecosystem Monitoring and Assessment Research Team of Hainan University. His research focuses on the impacts of global change on terrestrial ecosystems.</w:t>
            </w:r>
            <w:r>
              <w:rPr>
                <w:rFonts w:eastAsia="Times New Roman"/>
                <w:sz w:val="22"/>
              </w:rPr>
              <w:br w:type="textWrapping" w:clear="all"/>
            </w:r>
            <w:r>
              <w:rPr>
                <w:rFonts w:eastAsia="Times New Roman"/>
                <w:sz w:val="22"/>
              </w:rPr>
              <w:t xml:space="preserve">(3)Du </w:t>
            </w:r>
            <w:r>
              <w:rPr>
                <w:rFonts w:eastAsia="Times New Roman"/>
                <w:sz w:val="22"/>
              </w:rPr>
              <w:t>Jianguo: Research Fellow and Doctoral Supervisor, Third Institute of Oceanography, Ministry of Natural Resources. Deputy Secretary-General of the Marine Ecology Committee of the Ecological Society of China, Class C High-Level Talent of Fujian Province. His research centers on the conservation of tropical marine fish diversity, as well as food webs and connectivity of typical marine ecosystems.</w:t>
            </w:r>
            <w:r>
              <w:rPr>
                <w:rFonts w:eastAsia="Times New Roman"/>
                <w:sz w:val="22"/>
              </w:rPr>
              <w:br w:type="textWrapping" w:clear="all"/>
            </w:r>
            <w:r>
              <w:rPr>
                <w:rFonts w:eastAsia="Times New Roman"/>
                <w:sz w:val="22"/>
              </w:rPr>
              <w:t xml:space="preserve">(4)Chen </w:t>
            </w:r>
            <w:r>
              <w:rPr>
                <w:rFonts w:eastAsia="Times New Roman"/>
                <w:sz w:val="22"/>
              </w:rPr>
              <w:t>Luzhen: Professor and Doctoral Supervisor, School of Environment and Ecology, Xiamen University. Secretary-General of the Ecological Society of Fujian Province and Deputy Secretary-General of the Mangrove Ecology Committee of the Ecological Society of China. Her research covers wetland ecology, plant ecology, coastal blue carbon and global change, with a core focus on ecological response mechanisms and carbon sequestration functions of mangroves.</w:t>
            </w:r>
            <w:r>
              <w:rPr>
                <w:rFonts w:eastAsia="Times New Roman"/>
                <w:sz w:val="22"/>
              </w:rPr>
              <w:br w:type="textWrapping" w:clear="all"/>
            </w:r>
            <w:r>
              <w:rPr>
                <w:rFonts w:eastAsia="Times New Roman"/>
                <w:sz w:val="22"/>
              </w:rPr>
              <w:t xml:space="preserve">(5)Yi </w:t>
            </w:r>
            <w:r>
              <w:rPr>
                <w:rFonts w:eastAsia="Times New Roman"/>
                <w:sz w:val="22"/>
              </w:rPr>
              <w:t>Xuesong: Professor and Doctoral Supervisor, School of Environmental Science and Engineering, Hainan University. Top-notch Talent of Hainan Province. He serves as a member of the Youth Scholar Committee under the Municipal Engineering Subcommittee of the National Steering Committee for Undergraduate Programs in Water Supply and Drainage Science and Engineering, and Deputy Director of the Water Supply and Drainage Academic Committee of the Hainan Civil Engineering and Architecture Society. His research is dedicated to water environmental pollution and remediation technologies.</w:t>
            </w:r>
            <w:r>
              <w:rPr>
                <w:rFonts w:eastAsia="Times New Roman"/>
                <w:sz w:val="22"/>
              </w:rPr>
              <w:br w:type="textWrapping" w:clear="all"/>
            </w:r>
            <w:r>
              <w:rPr>
                <w:rFonts w:eastAsia="Times New Roman"/>
                <w:sz w:val="22"/>
              </w:rPr>
              <w:t xml:space="preserve">(6)Li </w:t>
            </w:r>
            <w:r>
              <w:rPr>
                <w:rFonts w:eastAsia="Times New Roman"/>
                <w:sz w:val="22"/>
              </w:rPr>
              <w:t>Weidong: Professor and Doctoral Supervisor, School of Ecology, Hainan University. Third-Tier Candidate of Hainan’s “515 Talent Project”, recipient of the Hainan “South China Sea Distinguished Young Scholars Program”, and member of the Expert Advisory Committee for Marine Ranch Construction under the Ministry of Agriculture and Rural Affairs. His research lies in marine ecological fisheries and environmental protection.</w:t>
            </w:r>
            <w:r>
              <w:rPr>
                <w:rFonts w:eastAsia="Times New Roman"/>
                <w:sz w:val="22"/>
              </w:rPr>
              <w:br w:type="textWrapping" w:clear="all"/>
            </w:r>
            <w:r>
              <w:rPr>
                <w:rFonts w:eastAsia="Times New Roman"/>
                <w:sz w:val="22"/>
              </w:rPr>
              <w:t xml:space="preserve">(7)Ren </w:t>
            </w:r>
            <w:r>
              <w:rPr>
                <w:rFonts w:eastAsia="Times New Roman"/>
                <w:sz w:val="22"/>
              </w:rPr>
              <w:t>Mingxun: Professor and Doctoral Supervisor, School of Ecology, Hainan University. Leading Talent of Hainan Province, Director of the Hainan Working Base (Hainan University) under the Overseas Talent Introduction Program of the China Association for Science and Technology, Director of the Hainan International Joint Research Center for Terrestrial Biodiversity around the South China Sea, and Deputy Director of the Key Laboratory of Tropical Characteristic Forest and Flower Genetics &amp; Germplasm Innovation under the Ministry of Education. His research focuses on biodiversity and molecular ecology.</w:t>
            </w:r>
            <w:r>
              <w:rPr>
                <w:rFonts w:eastAsia="Times New Roman"/>
                <w:sz w:val="22"/>
              </w:rPr>
              <w:br w:type="textWrapping" w:clear="all"/>
            </w:r>
            <w:r>
              <w:rPr>
                <w:rFonts w:eastAsia="Times New Roman"/>
                <w:sz w:val="22"/>
              </w:rPr>
              <w:t xml:space="preserve">(8)Zhao </w:t>
            </w:r>
            <w:r>
              <w:rPr>
                <w:rFonts w:eastAsia="Times New Roman"/>
                <w:sz w:val="22"/>
              </w:rPr>
              <w:t>Hongwei: Professor and Doctoral Supervisor, School of Ecology, Hainan University. Top-notch Talent of Hainan Province, Director of the Hainan International Joint Research Center for Coral Reef Ecology, and Director of the Hainan Engineering Research Center for Tropical Ecological Environment Restoration. His research focuses on coordinated land-sea pollution prevention and control as well as coral reef conservation.</w:t>
            </w:r>
            <w:r>
              <w:rPr>
                <w:rFonts w:eastAsia="Times New Roman"/>
                <w:sz w:val="22"/>
              </w:rPr>
              <w:br w:type="textWrapping" w:clear="all"/>
            </w:r>
            <w:r>
              <w:rPr>
                <w:rFonts w:eastAsia="Times New Roman"/>
                <w:sz w:val="22"/>
              </w:rPr>
              <w:t xml:space="preserve">(9)Liu </w:t>
            </w:r>
            <w:r>
              <w:rPr>
                <w:rFonts w:eastAsia="Times New Roman"/>
                <w:sz w:val="22"/>
              </w:rPr>
              <w:t>Shuguang: Professor and Doctoral Supervisor, School of Ecology, Hainan University. Nationally recruited overseas senior talent. In 2021, Reuters listed him among the world’s top 1,000 most influential scientists in climate change research. He was included in Stanford University’s World’s Top 2% Scientists Ranking for both 2022 and 2023. His research covers carbon cycles (carbon sources and sinks), water cycles, ecosystem functions and services from plot to global scales.</w:t>
            </w:r>
            <w:r>
              <w:rPr>
                <w:rFonts w:eastAsia="Times New Roman"/>
                <w:sz w:val="22"/>
              </w:rPr>
              <w:br w:type="textWrapping" w:clear="all"/>
            </w:r>
            <w:r>
              <w:rPr>
                <w:rFonts w:eastAsia="Times New Roman"/>
                <w:sz w:val="22"/>
              </w:rPr>
              <w:t xml:space="preserve">(10)Gao </w:t>
            </w:r>
            <w:r>
              <w:rPr>
                <w:rFonts w:eastAsia="Times New Roman"/>
                <w:sz w:val="22"/>
              </w:rPr>
              <w:t>Zhiguo: Distinguished Dean, Professor and Doctoral Supervisor, Law School of Hainan University. President of the Chinese Society of the Law of the Sea, Expert Committee Member of the International Commercial Court of the Supreme People’s Court, and Academic Committee Chair &amp; Chief Expert of the Collaborative Innovation Center for National Territorial Sovereignty and Maritime Rights and Interests. He has long engaged in teaching and research on international law and international maritime law at numerous universities and research institutions at home and abroad, with rich theoretical knowledge and practical experience in international judicial institutions.</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748A7"/>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499"/>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02DD5"/>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8C50AE0"/>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Char"/>
    <w:link w:val="2"/>
    <w:semiHidden/>
    <w:qFormat/>
    <w:uiPriority w:val="0"/>
    <w:rPr>
      <w:rFonts w:ascii="Times New Roman" w:hAnsi="Times New Roman" w:eastAsia="宋体" w:cs="Times New Roman"/>
      <w:sz w:val="18"/>
      <w:szCs w:val="18"/>
    </w:rPr>
  </w:style>
  <w:style w:type="character" w:customStyle="1" w:styleId="9">
    <w:name w:val="页脚 Char"/>
    <w:link w:val="3"/>
    <w:qFormat/>
    <w:uiPriority w:val="99"/>
    <w:rPr>
      <w:rFonts w:ascii="Times New Roman" w:hAnsi="Times New Roman"/>
      <w:kern w:val="2"/>
      <w:sz w:val="18"/>
      <w:szCs w:val="18"/>
    </w:rPr>
  </w:style>
  <w:style w:type="character" w:customStyle="1" w:styleId="10">
    <w:name w:val="页眉 Char"/>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2378CD-4874-450A-9208-6EE1630C101B}"/>
</file>

<file path=customXml/itemProps3.xml><?xml version="1.0" encoding="utf-8"?>
<ds:datastoreItem xmlns:ds="http://schemas.openxmlformats.org/officeDocument/2006/customXml" ds:itemID="{D2EF0138-3590-40A4-A284-77E5E2AF8DC7}"/>
</file>

<file path=customXml/itemProps4.xml><?xml version="1.0" encoding="utf-8"?>
<ds:datastoreItem xmlns:ds="http://schemas.openxmlformats.org/officeDocument/2006/customXml" ds:itemID="{92E22B51-9A1C-4050-AA23-6479C4107D9B}"/>
</file>

<file path=docProps/app.xml><?xml version="1.0" encoding="utf-8"?>
<Properties xmlns="http://schemas.openxmlformats.org/officeDocument/2006/extended-properties" xmlns:vt="http://schemas.openxmlformats.org/officeDocument/2006/docPropsVTypes">
  <Template>Normal</Template>
  <Pages>9</Pages>
  <Words>3182</Words>
  <Characters>18138</Characters>
  <Lines>151</Lines>
  <Paragraphs>42</Paragraphs>
  <TotalTime>0</TotalTime>
  <ScaleCrop>false</ScaleCrop>
  <LinksUpToDate>false</LinksUpToDate>
  <CharactersWithSpaces>21278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2</cp:revision>
  <cp:lastPrinted>2016-02-24T06:55:00Z</cp:lastPrinted>
  <dcterms:created xsi:type="dcterms:W3CDTF">2026-06-29T04:59:00Z</dcterms:created>
  <dcterms:modified xsi:type="dcterms:W3CDTF">2026-07-30T20:35:11Z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