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00" w:lineRule="exact"/>
        <w:jc w:val="center"/>
        <w:rPr>
          <w:rFonts w:hint="default" w:ascii="Times New Roman" w:hAnsi="Times New Roman" w:cs="Times New Roman"/>
          <w:b/>
        </w:rPr>
      </w:pPr>
      <w:bookmarkStart w:id="53" w:name="_GoBack"/>
      <w:r>
        <w:rPr>
          <w:rFonts w:hint="default" w:ascii="Times New Roman" w:hAnsi="Times New Roman" w:cs="Times New Roman"/>
          <w:b/>
          <w:sz w:val="30"/>
        </w:rPr>
        <w:t>Seminar on Comprehensive Utilization of Circular Agriculture for Belt and Road Countries</w:t>
      </w:r>
      <w:bookmarkStart w:id="0" w:name="projectPnameEnTitle"/>
    </w:p>
    <w:bookmarkEnd w:id="53"/>
    <w:tbl>
      <w:tblPr>
        <w:tblStyle w:val="5"/>
        <w:tblW w:w="99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5"/>
        <w:gridCol w:w="1275"/>
        <w:gridCol w:w="1152"/>
        <w:gridCol w:w="1374"/>
        <w:gridCol w:w="720"/>
        <w:gridCol w:w="1857"/>
        <w:gridCol w:w="2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 w:name="unitNameEnTitle"/>
            <w:r>
              <w:rPr>
                <w:rFonts w:eastAsia="Times New Roman"/>
                <w:sz w:val="22"/>
              </w:rPr>
              <w:t>Program name</w:t>
            </w:r>
            <w:bookmarkEnd w:id="0"/>
            <w:bookmarkEnd w:id="1"/>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2114"/>
              </w:tabs>
              <w:snapToGrid w:val="0"/>
              <w:spacing w:line="240" w:lineRule="exact"/>
              <w:jc w:val="center"/>
              <w:rPr>
                <w:color w:val="000000"/>
              </w:rPr>
            </w:pPr>
            <w:bookmarkStart w:id="2" w:name="projectPnameEn"/>
            <w:r>
              <w:rPr>
                <w:rFonts w:eastAsia="Times New Roman"/>
                <w:sz w:val="22"/>
              </w:rPr>
              <w:t>Seminar on Comprehensive Utilization of Circular Agriculture for Belt and Road Countries</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 w:name="undertakeNameEnTitle"/>
            <w:r>
              <w:rPr>
                <w:rFonts w:eastAsia="Times New Roman"/>
                <w:sz w:val="22"/>
              </w:rPr>
              <w:t>Organized by</w:t>
            </w:r>
            <w:bookmarkEnd w:id="3"/>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1293"/>
              </w:tabs>
              <w:snapToGrid w:val="0"/>
              <w:spacing w:line="240" w:lineRule="exact"/>
              <w:jc w:val="center"/>
              <w:rPr>
                <w:color w:val="000000"/>
              </w:rPr>
            </w:pPr>
            <w:bookmarkStart w:id="4" w:name="undertakeNameEn"/>
            <w:r>
              <w:rPr>
                <w:rFonts w:eastAsia="Times New Roman"/>
                <w:sz w:val="22"/>
              </w:rPr>
              <w:t>Agricultural and Rural Management Institute, Ministry of Agriculture and Rural Affairs</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 w:name="projectDateTitle"/>
            <w:r>
              <w:rPr>
                <w:rFonts w:eastAsia="Times New Roman"/>
                <w:sz w:val="22"/>
              </w:rPr>
              <w:t>Time</w:t>
            </w:r>
            <w:bookmarkEnd w:id="5"/>
          </w:p>
        </w:tc>
        <w:tc>
          <w:tcPr>
            <w:tcW w:w="380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6" w:name="projectStartDateEn"/>
            <w:r>
              <w:rPr>
                <w:rFonts w:eastAsia="Times New Roman"/>
                <w:sz w:val="22"/>
              </w:rPr>
              <w:t>2026-10-13</w:t>
            </w:r>
            <w:bookmarkEnd w:id="6"/>
            <w:r>
              <w:rPr>
                <w:rFonts w:hint="eastAsia"/>
                <w:color w:val="000000"/>
                <w:szCs w:val="21"/>
              </w:rPr>
              <w:t xml:space="preserve"> -- </w:t>
            </w:r>
            <w:bookmarkStart w:id="7" w:name="projectEndDateEn"/>
            <w:r>
              <w:rPr>
                <w:rFonts w:eastAsia="Times New Roman"/>
                <w:sz w:val="22"/>
              </w:rPr>
              <w:t>2026-10-26</w:t>
            </w:r>
            <w:bookmarkEnd w:id="7"/>
          </w:p>
        </w:tc>
        <w:tc>
          <w:tcPr>
            <w:tcW w:w="25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8" w:name="projectLanguageEnTitle"/>
            <w:r>
              <w:rPr>
                <w:rFonts w:eastAsia="Times New Roman"/>
                <w:sz w:val="22"/>
              </w:rPr>
              <w:t>Language used</w:t>
            </w:r>
            <w:bookmarkEnd w:id="8"/>
          </w:p>
        </w:tc>
        <w:tc>
          <w:tcPr>
            <w:tcW w:w="207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9" w:name="projectLanguageEn"/>
            <w:r>
              <w:rPr>
                <w:rFonts w:eastAsia="Times New Roman"/>
                <w:sz w:val="22"/>
              </w:rPr>
              <w:t>English</w:t>
            </w:r>
            <w:bookmarkEnd w:id="9"/>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0" w:name="projectInvitedEnTitle"/>
            <w:r>
              <w:rPr>
                <w:rFonts w:eastAsia="Times New Roman"/>
                <w:sz w:val="22"/>
              </w:rPr>
              <w:t>Countries invited</w:t>
            </w:r>
            <w:bookmarkEnd w:id="10"/>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40" w:firstLineChars="200"/>
              <w:rPr>
                <w:color w:val="000000"/>
              </w:rPr>
            </w:pPr>
            <w:bookmarkStart w:id="11" w:name="projectInvitedEn"/>
            <w:r>
              <w:rPr>
                <w:rFonts w:eastAsia="Times New Roman"/>
                <w:sz w:val="22"/>
              </w:rPr>
              <w:t>Agricultural officials and researchers from Belt and Road countries</w:t>
            </w:r>
            <w:bookmarkEnd w:id="1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2" w:name="projectPersonNumTitle"/>
            <w:r>
              <w:rPr>
                <w:rFonts w:eastAsia="Times New Roman"/>
                <w:sz w:val="22"/>
              </w:rPr>
              <w:t>Planned number of participants</w:t>
            </w:r>
            <w:bookmarkEnd w:id="12"/>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180" w:firstLineChars="1900"/>
              <w:rPr>
                <w:color w:val="000000"/>
              </w:rPr>
            </w:pPr>
            <w:bookmarkStart w:id="13" w:name="projectPersonNumMinEn"/>
            <w:bookmarkStart w:id="14" w:name="projectPersonNumMaxEn"/>
            <w:bookmarkStart w:id="15" w:name="prcEstimateNumEn"/>
            <w:r>
              <w:rPr>
                <w:rFonts w:eastAsia="Times New Roman"/>
                <w:sz w:val="22"/>
              </w:rPr>
              <w:t>25</w:t>
            </w:r>
            <w:bookmarkEnd w:id="13"/>
            <w:bookmarkEnd w:id="14"/>
            <w:bookmarkEnd w:id="1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16" w:name="studentRequireTitle"/>
            <w:r>
              <w:rPr>
                <w:rFonts w:eastAsia="Times New Roman"/>
                <w:sz w:val="22"/>
              </w:rPr>
              <w:t>Requirements for the Participants</w:t>
            </w:r>
            <w:bookmarkEnd w:id="16"/>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7" w:name="studentRequireAgeTitle"/>
            <w:r>
              <w:rPr>
                <w:rFonts w:eastAsia="Times New Roman"/>
                <w:sz w:val="22"/>
              </w:rPr>
              <w:t>Age</w:t>
            </w:r>
            <w:bookmarkEnd w:id="17"/>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8" w:name="pmStConditionAgeEn"/>
            <w:r>
              <w:rPr>
                <w:rFonts w:eastAsia="Times New Roman"/>
                <w:sz w:val="22"/>
              </w:rPr>
              <w:t>Under 45 for officials at or under director’s level; Under 50 for officials at director general’s level</w:t>
            </w:r>
            <w:bookmarkEnd w:id="1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58" w:hRule="atLeas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9" w:name="studentRequireHealthTitle"/>
            <w:r>
              <w:rPr>
                <w:rFonts w:eastAsia="Times New Roman"/>
                <w:sz w:val="22"/>
              </w:rPr>
              <w:t>Health condition</w:t>
            </w:r>
            <w:bookmarkEnd w:id="19"/>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ind w:firstLine="440" w:firstLineChars="200"/>
              <w:rPr>
                <w:color w:val="000000"/>
              </w:rPr>
            </w:pPr>
            <w:bookmarkStart w:id="20" w:name="pmStCoditionBdEn"/>
            <w:r>
              <w:rPr>
                <w:rFonts w:eastAsia="Times New Roman"/>
                <w:sz w:val="22"/>
              </w:rPr>
              <w:t>In good health; with a health certificate or physical check format issued by local public hospitals; without diseases with which entry to China is disallowed by China’s laws and regulations; without severe chronic diseases such as serious hypertension, cardiovascular/cerebrovascular diseases and diabetes; without mental diseases or epidemic diseases that may cause serious threats to public health; not in the process of major postoperative recovery or the process of acute diseases; not seriously limb disabled or pregnant.</w:t>
            </w:r>
            <w:bookmarkEnd w:id="2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1" w:name="studentRequireLanguageTitle"/>
            <w:r>
              <w:rPr>
                <w:rFonts w:eastAsia="Times New Roman"/>
                <w:sz w:val="22"/>
              </w:rPr>
              <w:t>Language competence</w:t>
            </w:r>
            <w:bookmarkEnd w:id="21"/>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2" w:name="pmStCoditionLangEn"/>
            <w:r>
              <w:rPr>
                <w:rFonts w:eastAsia="Times New Roman"/>
                <w:sz w:val="22"/>
              </w:rPr>
              <w:t>Sufficient English skills in listening, speaking, reading and writing</w:t>
            </w:r>
            <w:bookmarkEnd w:id="2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szCs w:val="21"/>
              </w:rPr>
            </w:pPr>
            <w:bookmarkStart w:id="23" w:name="studentRequireOthersTitle"/>
            <w:r>
              <w:rPr>
                <w:rFonts w:eastAsia="Times New Roman"/>
                <w:sz w:val="22"/>
              </w:rPr>
              <w:t>others</w:t>
            </w:r>
            <w:bookmarkEnd w:id="23"/>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pPr>
            <w:bookmarkStart w:id="24" w:name="pmStCoditionOtherEn"/>
            <w:r>
              <w:rPr>
                <w:rFonts w:eastAsia="Times New Roman"/>
                <w:sz w:val="22"/>
              </w:rPr>
              <w:t>Family members or friends shall not follow</w:t>
            </w:r>
            <w:bookmarkEnd w:id="2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5" w:name="projectHostPlaceEnTitle"/>
            <w:r>
              <w:rPr>
                <w:rFonts w:eastAsia="Times New Roman"/>
                <w:sz w:val="22"/>
              </w:rPr>
              <w:t>Venue</w:t>
            </w:r>
            <w:bookmarkEnd w:id="25"/>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6" w:name="projectHostPlaceEn"/>
            <w:r>
              <w:rPr>
                <w:rFonts w:eastAsia="Times New Roman"/>
                <w:sz w:val="22"/>
              </w:rPr>
              <w:t>Beijing City</w:t>
            </w:r>
            <w:bookmarkEnd w:id="26"/>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7" w:name="projectHpairEnTitle"/>
            <w:r>
              <w:rPr>
                <w:rFonts w:eastAsia="Times New Roman"/>
                <w:sz w:val="22"/>
              </w:rPr>
              <w:t>Weather conditions</w:t>
            </w:r>
            <w:bookmarkEnd w:id="27"/>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28" w:name="projectHpairEn"/>
            <w:r>
              <w:rPr>
                <w:rFonts w:eastAsia="Times New Roman"/>
                <w:sz w:val="22"/>
              </w:rPr>
              <w:t>5℃~16℃</w:t>
            </w:r>
            <w:bookmarkEnd w:id="2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65"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9" w:name="investigationCitysEnTitle"/>
            <w:r>
              <w:rPr>
                <w:rFonts w:eastAsia="Times New Roman"/>
                <w:sz w:val="22"/>
              </w:rPr>
              <w:t>Cities to be visited</w:t>
            </w:r>
            <w:bookmarkEnd w:id="29"/>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right"/>
              <w:rPr>
                <w:color w:val="000000"/>
              </w:rPr>
            </w:pPr>
            <w:bookmarkStart w:id="30" w:name="investigationCitysEn"/>
            <w:r>
              <w:rPr>
                <w:rFonts w:eastAsia="Times New Roman"/>
                <w:sz w:val="22"/>
              </w:rPr>
              <w:t>Changsha City, Hunan Province</w:t>
            </w:r>
            <w:bookmarkEnd w:id="30"/>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1" w:name="investigationConditionsEnTitle"/>
            <w:r>
              <w:rPr>
                <w:rFonts w:eastAsia="Times New Roman"/>
                <w:sz w:val="22"/>
              </w:rPr>
              <w:t>Weather conditions</w:t>
            </w:r>
            <w:bookmarkEnd w:id="31"/>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32" w:name="investigationConditionsEn"/>
            <w:r>
              <w:rPr>
                <w:rFonts w:eastAsia="Times New Roman"/>
                <w:sz w:val="22"/>
              </w:rPr>
              <w:t>Changsha City, Hunan Province:13℃~21℃</w:t>
            </w:r>
            <w:bookmarkEnd w:id="3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3" w:name="projectAgCommentsEnTitle"/>
            <w:r>
              <w:rPr>
                <w:rFonts w:eastAsia="Times New Roman"/>
                <w:sz w:val="22"/>
              </w:rPr>
              <w:t>Remarks</w:t>
            </w:r>
            <w:bookmarkEnd w:id="33"/>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rPr>
                <w:color w:val="000000"/>
              </w:rPr>
            </w:pPr>
            <w:bookmarkStart w:id="34" w:name="projectIniComEn"/>
            <w:bookmarkStart w:id="35" w:name="projectAgCommentsEn"/>
            <w:r>
              <w:rPr>
                <w:rFonts w:eastAsia="Times New Roman"/>
                <w:sz w:val="22"/>
              </w:rPr>
              <w:t>1. Visa: Please confirm that the visa is valid from 5 days before the start of the seminar to 5 days after the end of the seminar.</w:t>
            </w:r>
            <w:r>
              <w:rPr>
                <w:rFonts w:eastAsia="Times New Roman"/>
                <w:sz w:val="22"/>
              </w:rPr>
              <w:br w:type="textWrapping" w:clear="all"/>
            </w:r>
            <w:r>
              <w:rPr>
                <w:rFonts w:eastAsia="Times New Roman"/>
                <w:sz w:val="22"/>
              </w:rPr>
              <w:t>2. Preparation for daily life: ①Please prepare for your study and living according to the seminar arrangement and the weather conditions of the place and the visit. ②You can bring a small amount of frequently used drugs according to your situation, and it is strictly prohibited to bring illegal and exceeding the limit of drugs into China. ③If you have any religious issues or needs, please communicate with the organizer in advance.</w:t>
            </w:r>
            <w:r>
              <w:rPr>
                <w:rFonts w:eastAsia="Times New Roman"/>
                <w:sz w:val="22"/>
              </w:rPr>
              <w:br w:type="textWrapping" w:clear="all"/>
            </w:r>
            <w:r>
              <w:rPr>
                <w:rFonts w:eastAsia="Times New Roman"/>
                <w:sz w:val="22"/>
              </w:rPr>
              <w:t>3. Baggage requirements: ①Please pay attention to the standard of baggage allowed on international and domestic flights in China. The responsibility for excess baggage fees and missed flights caused by baggage disputes shall be borne by the individual. ②Please confirm whether you need to check your baggage again during the transfer. ③</w:t>
            </w:r>
            <w:r>
              <w:rPr>
                <w:rFonts w:eastAsia="Times New Roman"/>
                <w:sz w:val="22"/>
              </w:rPr>
              <w:t>In case of loss of checked baggage, please register with the airline in time. When filling in the registration form, please contact the organizer to confirm the delivery address.</w:t>
            </w:r>
            <w:r>
              <w:rPr>
                <w:rFonts w:eastAsia="Times New Roman"/>
                <w:sz w:val="22"/>
              </w:rPr>
              <w:br w:type="textWrapping" w:clear="all"/>
            </w:r>
            <w:r>
              <w:rPr>
                <w:rFonts w:eastAsia="Times New Roman"/>
                <w:sz w:val="22"/>
              </w:rPr>
              <w:t xml:space="preserve">4. Missed flight and pick-up arrangement: ①Please contact the organizer in time if you are not able to follow the original itinerary or missed the connecting flight due to a delay of the previous one. ②The organizer will receive you at the destination airport. After claiming the luggage, please find the staff holding a sign with the name of the institute at the International </w:t>
            </w:r>
            <w:r>
              <w:rPr>
                <w:rFonts w:eastAsia="Times New Roman"/>
                <w:sz w:val="22"/>
              </w:rPr>
              <w:t>Arrival Exit (or Domestic Arrival Exit). In case of any abnormal situation, please contact the organizer in time.</w:t>
            </w:r>
            <w:r>
              <w:rPr>
                <w:rFonts w:eastAsia="Times New Roman"/>
                <w:sz w:val="22"/>
              </w:rPr>
              <w:br w:type="textWrapping" w:clear="all"/>
            </w:r>
            <w:r>
              <w:rPr>
                <w:rFonts w:eastAsia="Times New Roman"/>
                <w:sz w:val="22"/>
              </w:rPr>
              <w:t>5. Ticket refund and change: If you change the ticket without consent or refund or change the ticket due to personal reasons, the expenses and liabilities incurred shall be borne by the individual.</w:t>
            </w:r>
            <w:r>
              <w:rPr>
                <w:rFonts w:eastAsia="Times New Roman"/>
                <w:sz w:val="22"/>
              </w:rPr>
              <w:br w:type="textWrapping" w:clear="all"/>
            </w:r>
            <w:r>
              <w:rPr>
                <w:rFonts w:eastAsia="Times New Roman"/>
                <w:sz w:val="22"/>
              </w:rPr>
              <w:t>6. Please prepare communication materials for presentation during the seminar. It should cover the processing and circulation of agricultural products, construction of industrial chain, policies and methods, main challenges and countermeasures, etc.</w:t>
            </w:r>
            <w:r>
              <w:rPr>
                <w:rFonts w:eastAsia="Times New Roman"/>
                <w:sz w:val="22"/>
              </w:rPr>
              <w:br w:type="textWrapping" w:clear="all"/>
            </w:r>
            <w:r>
              <w:rPr>
                <w:rFonts w:eastAsia="Times New Roman"/>
                <w:sz w:val="22"/>
              </w:rPr>
              <w:t>7. The schedule for field visits and courses is subject to change based on actual circumstances.</w:t>
            </w:r>
            <w:bookmarkEnd w:id="34"/>
            <w:bookmarkEnd w:id="3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36" w:name="contactTitle"/>
            <w:r>
              <w:rPr>
                <w:rFonts w:eastAsia="Times New Roman"/>
                <w:sz w:val="22"/>
              </w:rPr>
              <w:t>Contact information of the organizer</w:t>
            </w:r>
            <w:bookmarkEnd w:id="36"/>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7" w:name="projectContactPersonsEnTitle"/>
            <w:r>
              <w:rPr>
                <w:rFonts w:eastAsia="Times New Roman"/>
                <w:sz w:val="22"/>
              </w:rPr>
              <w:t>Contact person for the program</w:t>
            </w:r>
            <w:bookmarkEnd w:id="37"/>
          </w:p>
        </w:tc>
        <w:tc>
          <w:tcPr>
            <w:tcW w:w="6030"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left"/>
              <w:rPr>
                <w:color w:val="000000"/>
                <w:lang w:val="de-DE"/>
              </w:rPr>
            </w:pPr>
            <w:bookmarkStart w:id="38" w:name="projectContactPersonsEn"/>
            <w:r>
              <w:rPr>
                <w:rFonts w:eastAsia="Times New Roman"/>
                <w:sz w:val="22"/>
              </w:rPr>
              <w:t>Mr.Gu Ji, Ms.He Bowen</w:t>
            </w:r>
            <w:bookmarkEnd w:id="3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lang w:val="de-DE"/>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9" w:name="projectContactTelsEnTitle"/>
            <w:r>
              <w:rPr>
                <w:rFonts w:eastAsia="Times New Roman"/>
                <w:sz w:val="22"/>
              </w:rPr>
              <w:t>Office phone</w:t>
            </w:r>
            <w:bookmarkEnd w:id="39"/>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0" w:name="projectContactTelsEn"/>
            <w:r>
              <w:rPr>
                <w:rFonts w:eastAsia="Times New Roman"/>
                <w:sz w:val="22"/>
              </w:rPr>
              <w:t>0086-10-59197681(Mr.Gu), 0086-10-59197687(Ms.He)</w:t>
            </w:r>
            <w:bookmarkEnd w:id="4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1" w:name="projectContactMobilesEnTitle"/>
            <w:r>
              <w:rPr>
                <w:rFonts w:eastAsia="Times New Roman"/>
                <w:sz w:val="22"/>
              </w:rPr>
              <w:t>Mobile phone</w:t>
            </w:r>
            <w:bookmarkEnd w:id="41"/>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2" w:name="projectContactMobilesEn"/>
            <w:r>
              <w:rPr>
                <w:rFonts w:eastAsia="Times New Roman"/>
                <w:sz w:val="22"/>
              </w:rPr>
              <w:t>15210048269(Mr.Gu), 15210512681(Ms.He)</w:t>
            </w:r>
            <w:bookmarkEnd w:id="4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12" w:right="-107" w:rightChars="-51" w:hanging="112" w:hangingChars="51"/>
              <w:jc w:val="center"/>
              <w:rPr>
                <w:color w:val="000000"/>
              </w:rPr>
            </w:pPr>
            <w:bookmarkStart w:id="43" w:name="projectContactFaxsEnTitle"/>
            <w:r>
              <w:rPr>
                <w:rFonts w:eastAsia="Times New Roman"/>
                <w:sz w:val="22"/>
              </w:rPr>
              <w:t>Fax</w:t>
            </w:r>
            <w:bookmarkEnd w:id="43"/>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4" w:name="projectContactFaxsEn"/>
            <w:r>
              <w:rPr>
                <w:rFonts w:eastAsia="Times New Roman"/>
                <w:sz w:val="22"/>
              </w:rPr>
              <w:t>0086-10-59197685(Mr.Gu), 0086-10-59197685(Ms.He)</w:t>
            </w:r>
            <w:bookmarkEnd w:id="4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12" w:right="-107" w:rightChars="-51" w:hanging="112" w:hangingChars="51"/>
              <w:jc w:val="center"/>
              <w:rPr>
                <w:color w:val="000000"/>
              </w:rPr>
            </w:pPr>
            <w:bookmarkStart w:id="45" w:name="projectContactEmailsEnTitle"/>
            <w:r>
              <w:rPr>
                <w:rFonts w:eastAsia="Times New Roman"/>
                <w:sz w:val="22"/>
              </w:rPr>
              <w:t>E-mail</w:t>
            </w:r>
            <w:bookmarkEnd w:id="45"/>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6" w:name="projectContactEmailsEn"/>
            <w:r>
              <w:rPr>
                <w:rFonts w:eastAsia="Times New Roman"/>
                <w:sz w:val="22"/>
              </w:rPr>
              <w:t>ami_moa@163.com(Mr.Gu), ami_moa@163.com(Ms.He)</w:t>
            </w:r>
            <w:bookmarkEnd w:id="4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12" w:right="-107" w:rightChars="-51" w:hanging="112" w:hangingChars="51"/>
              <w:jc w:val="center"/>
              <w:rPr>
                <w:color w:val="000000"/>
              </w:rPr>
            </w:pPr>
            <w:bookmarkStart w:id="47" w:name="projectAgAddressEnTitle"/>
            <w:r>
              <w:rPr>
                <w:rFonts w:eastAsia="Times New Roman"/>
                <w:sz w:val="22"/>
              </w:rPr>
              <w:t>Address</w:t>
            </w:r>
            <w:bookmarkEnd w:id="47"/>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8" w:name="projectAgAddressEn"/>
            <w:r>
              <w:rPr>
                <w:rFonts w:eastAsia="Times New Roman"/>
                <w:sz w:val="22"/>
              </w:rPr>
              <w:t>209 Huangping Road, Changping District, Beijing</w:t>
            </w:r>
            <w:bookmarkEnd w:id="4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9" w:name="projectAgDescriptionEnTitle"/>
            <w:r>
              <w:rPr>
                <w:rFonts w:eastAsia="Times New Roman"/>
                <w:sz w:val="22"/>
              </w:rPr>
              <w:t>About the Organizer</w:t>
            </w:r>
            <w:bookmarkEnd w:id="49"/>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0" w:name="projectAgDescriptionEn"/>
            <w:r>
              <w:rPr>
                <w:rFonts w:eastAsia="Times New Roman"/>
                <w:sz w:val="22"/>
              </w:rPr>
              <w:t>The Agricultural and Rural Management Institute (ARMI) is directly affiliated with the Ministry of Agriculture and Rural Affairs (MARA). Its responsibilities include ①Undertaking training for officials in China’s agricultural system, semi-senior and senior professionals, rural talents with practical skills, new types of agribusiness, and agricultural officials of developing countries; ②Disseminating government policies and measures; ③Conducting research on key issues such as agricultural laws and regulations, rural land and resources, rural social governance, agricultural and rural economy, modern agriculture development, etc.; ④Providing consultancy and support on the above-mentioned research areas.</w:t>
            </w:r>
            <w:r>
              <w:rPr>
                <w:rFonts w:eastAsia="Times New Roman"/>
                <w:sz w:val="22"/>
              </w:rPr>
              <w:br w:type="textWrapping" w:clear="all"/>
            </w:r>
            <w:r>
              <w:rPr>
                <w:rFonts w:eastAsia="Times New Roman"/>
                <w:sz w:val="22"/>
              </w:rPr>
              <w:t>The Institute attaches great importance to international training. It has set up a working group led by the President, and particular divisions to implement training programs. It has established a complete system of training in accordance with the foreign affairs regulations and international training requirements of the State. ARMI has undertaken agricultural international exchange and training since 2004. By the end of 2025, the Institute has delivered a total of over 120 training programs, including more than 100 foreign aid training programs sponsored by the Ministry of Commerce (MOFCOM), receiving over 2800 agricultural officials from all over the world. Boasted by its training advantages in agricultural policies and management, together with considerate and people-friendly service, ARMI has won wide acclaim from participants and relevant authorities of participating countries. The Institute has long been organizing seminars on agricultural and rural development for developing countries. With rich teaching experience and abundant educational resources, it has successfully conducted numerous training sessions in the field of rural development.</w:t>
            </w:r>
            <w:bookmarkEnd w:id="5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1" w:name="projectAgContentEnTitle"/>
            <w:r>
              <w:rPr>
                <w:rFonts w:eastAsia="Times New Roman"/>
                <w:sz w:val="22"/>
              </w:rPr>
              <w:t>Training content</w:t>
            </w:r>
            <w:bookmarkEnd w:id="51"/>
          </w:p>
        </w:tc>
        <w:tc>
          <w:tcPr>
            <w:tcW w:w="8457" w:type="dxa"/>
            <w:gridSpan w:val="6"/>
            <w:tcBorders>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2" w:name="projectAgContentEn"/>
            <w:r>
              <w:rPr>
                <w:rFonts w:eastAsia="Times New Roman"/>
                <w:sz w:val="22"/>
              </w:rPr>
              <w:t>The seminar will feature thematic lectures, on-site teaching, symposiums, and field visits centered around the seminar theme.</w:t>
            </w:r>
            <w:r>
              <w:rPr>
                <w:rFonts w:eastAsia="Times New Roman"/>
                <w:sz w:val="22"/>
              </w:rPr>
              <w:br w:type="textWrapping" w:clear="all"/>
            </w:r>
            <w:r>
              <w:rPr>
                <w:rFonts w:eastAsia="Times New Roman"/>
                <w:sz w:val="22"/>
              </w:rPr>
              <w:t>The main courses include:</w:t>
            </w:r>
            <w:r>
              <w:rPr>
                <w:rFonts w:eastAsia="Times New Roman"/>
                <w:sz w:val="22"/>
              </w:rPr>
              <w:br w:type="textWrapping" w:clear="all"/>
            </w:r>
            <w:r>
              <w:rPr>
                <w:rFonts w:eastAsia="Times New Roman"/>
                <w:sz w:val="22"/>
              </w:rPr>
              <w:t>(1) Overview of China: An introduction to China's geographical environment, history, humanities, and socio-economic development;</w:t>
            </w:r>
            <w:r>
              <w:rPr>
                <w:rFonts w:eastAsia="Times New Roman"/>
                <w:sz w:val="22"/>
              </w:rPr>
              <w:br w:type="textWrapping" w:clear="all"/>
            </w:r>
            <w:r>
              <w:rPr>
                <w:rFonts w:eastAsia="Times New Roman"/>
                <w:sz w:val="22"/>
              </w:rPr>
              <w:t>(2) History of China's Agricultural and Rural Reform: Reviews major milestones, key measures, and historical achievements of agricultural and rural reform since the founding of the People's Republic of China;</w:t>
            </w:r>
            <w:r>
              <w:rPr>
                <w:rFonts w:eastAsia="Times New Roman"/>
                <w:sz w:val="22"/>
              </w:rPr>
              <w:br w:type="textWrapping" w:clear="all"/>
            </w:r>
            <w:r>
              <w:rPr>
                <w:rFonts w:eastAsia="Times New Roman"/>
                <w:sz w:val="22"/>
              </w:rPr>
              <w:t>(3) China's Agricultural and Rural Development Policy Framework: Introduces core policies under the Rural Revitalization Strategy, covering land systems, agricultural subsidies, collective economy, and farmer income protection;</w:t>
            </w:r>
            <w:r>
              <w:rPr>
                <w:rFonts w:eastAsia="Times New Roman"/>
                <w:sz w:val="22"/>
              </w:rPr>
              <w:br w:type="textWrapping" w:clear="all"/>
            </w:r>
            <w:r>
              <w:rPr>
                <w:rFonts w:eastAsia="Times New Roman"/>
                <w:sz w:val="22"/>
              </w:rPr>
              <w:t>(4) China's Food Security Strategy and Practice: Introduces China's food security guarantee system, including farmland protection, production support, storage and circulation, and contributions to global food security governance;</w:t>
            </w:r>
            <w:r>
              <w:rPr>
                <w:rFonts w:eastAsia="Times New Roman"/>
                <w:sz w:val="22"/>
              </w:rPr>
              <w:br w:type="textWrapping" w:clear="all"/>
            </w:r>
            <w:r>
              <w:rPr>
                <w:rFonts w:eastAsia="Times New Roman"/>
                <w:sz w:val="22"/>
              </w:rPr>
              <w:t>(5) Agricultural Science and Technology Innovation and Extension in China: Introduces the construction of the agricultural science and technology innovation system, covering seed industry revitalization, agricultural mechanization, smart agriculture, and agricultural technology extension services;</w:t>
            </w:r>
            <w:r>
              <w:rPr>
                <w:rFonts w:eastAsia="Times New Roman"/>
                <w:sz w:val="22"/>
              </w:rPr>
              <w:br w:type="textWrapping" w:clear="all"/>
            </w:r>
            <w:r>
              <w:rPr>
                <w:rFonts w:eastAsia="Times New Roman"/>
                <w:sz w:val="22"/>
              </w:rPr>
              <w:t>(6) Theory and Planning for Green Agricultural Development: Introduces the concept of green agricultural development, functional zoning, resource-efficient utilization, and reduction of chemical fertilizers and pesticides;</w:t>
            </w:r>
            <w:r>
              <w:rPr>
                <w:rFonts w:eastAsia="Times New Roman"/>
                <w:sz w:val="22"/>
              </w:rPr>
              <w:br w:type="textWrapping" w:clear="all"/>
            </w:r>
            <w:r>
              <w:rPr>
                <w:rFonts w:eastAsia="Times New Roman"/>
                <w:sz w:val="22"/>
              </w:rPr>
              <w:t>(7) Theory and Practice of Ecological Circular Agriculture: Introduces the basic theory of ecological circular agriculture, with a focus on waste resource utilization, integrated crop-livestock farming models, and representative case studies;</w:t>
            </w:r>
            <w:r>
              <w:rPr>
                <w:rFonts w:eastAsia="Times New Roman"/>
                <w:sz w:val="22"/>
              </w:rPr>
              <w:br w:type="textWrapping" w:clear="all"/>
            </w:r>
            <w:r>
              <w:rPr>
                <w:rFonts w:eastAsia="Times New Roman"/>
                <w:sz w:val="22"/>
              </w:rPr>
              <w:t>(8) Rural Ecological Environment Protection and Governance: Introduces rural living environment improvement, control of agricultural non-point source pollution, treatment of sewage and solid waste, and related laws and regulations;</w:t>
            </w:r>
            <w:r>
              <w:rPr>
                <w:rFonts w:eastAsia="Times New Roman"/>
                <w:sz w:val="22"/>
              </w:rPr>
              <w:br w:type="textWrapping" w:clear="all"/>
            </w:r>
            <w:r>
              <w:rPr>
                <w:rFonts w:eastAsia="Times New Roman"/>
                <w:sz w:val="22"/>
              </w:rPr>
              <w:t>(9) Rural Ecosystem Restoration and Biodiversity Conservation: Introduces ecological restoration programs such as returning farmland to forests and grasslands, wetland protection, and soil erosion control, along with pathways for coordinating biodiversity conservation with agricultural production;</w:t>
            </w:r>
            <w:r>
              <w:rPr>
                <w:rFonts w:eastAsia="Times New Roman"/>
                <w:sz w:val="22"/>
              </w:rPr>
              <w:br w:type="textWrapping" w:clear="all"/>
            </w:r>
            <w:r>
              <w:rPr>
                <w:rFonts w:eastAsia="Times New Roman"/>
                <w:sz w:val="22"/>
              </w:rPr>
              <w:t>(10) Rural Industrial Integration and Sustainable Rural Development: Introduces models for integrating primary, secondary, and tertiary industries in rural areas, covering leisure agriculture, agricultural product processing, rural e-commerce, and other emerging sectors.</w:t>
            </w:r>
            <w:r>
              <w:rPr>
                <w:rFonts w:eastAsia="Times New Roman"/>
                <w:sz w:val="22"/>
              </w:rPr>
              <w:br w:type="textWrapping" w:clear="all"/>
            </w:r>
            <w:r>
              <w:rPr>
                <w:rFonts w:eastAsia="Times New Roman"/>
                <w:sz w:val="22"/>
              </w:rPr>
              <w:t>Field visits will include visits to leading circular agriculture enterprises, national-level agricultural research institutes, and eco-circular agricultural demonstration bases. Participants will also conduct field visits in Changsha City, Hunan Province, visiting modern agricultural industrial parks, key circular agriculture laboratories, and green agriculture demonstration projects, with opportunities for exchanges with local government officials, researchers, and business representatives to learn about circular agriculture development and management experience while exploring bilateral cooperation. In addition, participants will enjoy enriching cultural activities during their leisure time to experience China's history and culture and understand Chinese society and people's livelihoods.</w:t>
            </w:r>
            <w:r>
              <w:rPr>
                <w:rFonts w:eastAsia="Times New Roman"/>
                <w:sz w:val="22"/>
              </w:rPr>
              <w:br w:type="textWrapping" w:clear="all"/>
            </w:r>
            <w:r>
              <w:rPr>
                <w:rFonts w:eastAsia="Times New Roman"/>
                <w:sz w:val="22"/>
              </w:rPr>
              <w:t>The seminar will organize discussion and exchange sessions. Participants are requested to prepare in advance an introduction covering: their own job responsibilities, the current status and policies of circular agriculture in their home country, the management system for agricultural waste resource utilization, their main areas of work, and the key challenges currently facing circular agriculture development.</w:t>
            </w:r>
            <w:bookmarkEnd w:id="52"/>
          </w:p>
        </w:tc>
      </w:tr>
    </w:tbl>
    <w:p>
      <w:pPr>
        <w:spacing w:after="156" w:afterLines="50" w:line="500" w:lineRule="exact"/>
        <w:rPr>
          <w:rFonts w:eastAsia="黑体"/>
          <w:b/>
          <w:color w:val="000000"/>
          <w:sz w:val="36"/>
          <w:szCs w:val="36"/>
        </w:rPr>
      </w:pPr>
    </w:p>
    <w:sectPr>
      <w:headerReference r:id="rId3" w:type="default"/>
      <w:pgSz w:w="11906" w:h="16838"/>
      <w:pgMar w:top="1134"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338C"/>
    <w:multiLevelType w:val="multilevel"/>
    <w:tmpl w:val="27E2338C"/>
    <w:lvl w:ilvl="0" w:tentative="0">
      <w:start w:val="1"/>
      <w:numFmt w:val="decimal"/>
      <w:pStyle w:val="14"/>
      <w:lvlText w:val="%1a."/>
      <w:lvlJc w:val="left"/>
      <w:pPr>
        <w:tabs>
          <w:tab w:val="left" w:pos="425"/>
        </w:tabs>
        <w:ind w:left="425" w:hanging="425"/>
      </w:pPr>
      <w:rPr>
        <w:rFonts w:hint="eastAsia" w:ascii="宋体" w:eastAsia="宋体"/>
        <w:b w:val="0"/>
        <w:i w:val="0"/>
        <w:sz w:val="28"/>
        <w:szCs w:val="28"/>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565"/>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10BCA"/>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483C3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semiHidden/>
    <w:qFormat/>
    <w:uiPriority w:val="0"/>
    <w:rPr>
      <w:kern w:val="0"/>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批注框文本 字符"/>
    <w:link w:val="2"/>
    <w:semiHidden/>
    <w:qFormat/>
    <w:uiPriority w:val="0"/>
    <w:rPr>
      <w:rFonts w:ascii="Times New Roman" w:hAnsi="Times New Roman" w:eastAsia="宋体" w:cs="Times New Roman"/>
      <w:sz w:val="18"/>
      <w:szCs w:val="18"/>
    </w:rPr>
  </w:style>
  <w:style w:type="character" w:customStyle="1" w:styleId="9">
    <w:name w:val="页脚 字符"/>
    <w:link w:val="3"/>
    <w:qFormat/>
    <w:uiPriority w:val="99"/>
    <w:rPr>
      <w:rFonts w:ascii="Times New Roman" w:hAnsi="Times New Roman"/>
      <w:kern w:val="2"/>
      <w:sz w:val="18"/>
      <w:szCs w:val="18"/>
    </w:rPr>
  </w:style>
  <w:style w:type="character" w:customStyle="1" w:styleId="10">
    <w:name w:val="页眉 字符"/>
    <w:link w:val="4"/>
    <w:qFormat/>
    <w:uiPriority w:val="99"/>
    <w:rPr>
      <w:rFonts w:ascii="Times New Roman" w:hAnsi="Times New Roman"/>
      <w:kern w:val="2"/>
      <w:sz w:val="18"/>
      <w:szCs w:val="18"/>
    </w:rPr>
  </w:style>
  <w:style w:type="character" w:customStyle="1" w:styleId="11">
    <w:name w:val="apple-converted-space"/>
    <w:qFormat/>
    <w:uiPriority w:val="0"/>
  </w:style>
  <w:style w:type="character" w:customStyle="1" w:styleId="12">
    <w:name w:val="apple-style-span"/>
    <w:qFormat/>
    <w:uiPriority w:val="0"/>
  </w:style>
  <w:style w:type="paragraph" w:customStyle="1" w:styleId="13">
    <w:name w:val="p0"/>
    <w:basedOn w:val="1"/>
    <w:qFormat/>
    <w:uiPriority w:val="0"/>
    <w:pPr>
      <w:widowControl/>
    </w:pPr>
    <w:rPr>
      <w:kern w:val="0"/>
      <w:szCs w:val="21"/>
    </w:rPr>
  </w:style>
  <w:style w:type="paragraph" w:customStyle="1" w:styleId="14">
    <w:name w:val="Char"/>
    <w:basedOn w:val="1"/>
    <w:next w:val="1"/>
    <w:qFormat/>
    <w:uiPriority w:val="0"/>
    <w:pPr>
      <w:pageBreakBefore/>
      <w:numPr>
        <w:ilvl w:val="0"/>
        <w:numId w:val="1"/>
      </w:numPr>
      <w:spacing w:line="400" w:lineRule="exact"/>
    </w:pPr>
    <w:rPr>
      <w:rFonts w:eastAsia="黑体"/>
      <w:sz w:val="32"/>
      <w:szCs w:val="32"/>
    </w:rPr>
  </w:style>
  <w:style w:type="paragraph" w:customStyle="1" w:styleId="15">
    <w:name w:val="_Style 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
    <w:name w:val="Char1"/>
    <w:basedOn w:val="1"/>
    <w:qFormat/>
    <w:uiPriority w:val="0"/>
    <w:pPr>
      <w:widowControl/>
      <w:spacing w:after="16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numbering" Target="numbering.xml"/><Relationship Id="rId1"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customXml" Target="../customXml/item4.xml"/><Relationship Id="rId4" Type="http://schemas.openxmlformats.org/officeDocument/2006/relationships/theme" Target="theme/theme1.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396948-AFEE-465B-A108-0C6CB8540437}"/>
</file>

<file path=customXml/itemProps3.xml><?xml version="1.0" encoding="utf-8"?>
<ds:datastoreItem xmlns:ds="http://schemas.openxmlformats.org/officeDocument/2006/customXml" ds:itemID="{1C0B7DBA-F0EB-44C3-9BD2-1A00EB49201B}"/>
</file>

<file path=customXml/itemProps4.xml><?xml version="1.0" encoding="utf-8"?>
<ds:datastoreItem xmlns:ds="http://schemas.openxmlformats.org/officeDocument/2006/customXml" ds:itemID="{13177A7A-8758-4F5D-8454-7ADB59D36EFC}"/>
</file>

<file path=docProps/app.xml><?xml version="1.0" encoding="utf-8"?>
<Properties xmlns="http://schemas.openxmlformats.org/officeDocument/2006/extended-properties" xmlns:vt="http://schemas.openxmlformats.org/officeDocument/2006/docPropsVTypes">
  <Template>Normal</Template>
  <Pages>6</Pages>
  <Words>1803</Words>
  <Characters>10279</Characters>
  <Lines>85</Lines>
  <Paragraphs>24</Paragraphs>
  <TotalTime>120</TotalTime>
  <ScaleCrop>false</ScaleCrop>
  <LinksUpToDate>false</LinksUpToDate>
  <CharactersWithSpaces>12058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Amy</dc:creator>
  <cp:lastModifiedBy>ShiYongRen</cp:lastModifiedBy>
  <cp:revision>50</cp:revision>
  <cp:lastPrinted>2016-02-24T06:55:00Z</cp:lastPrinted>
  <dcterms:created xsi:type="dcterms:W3CDTF">2021-05-08T07:43:00Z</dcterms:created>
  <dcterms:modified xsi:type="dcterms:W3CDTF">2026-07-29T20:58:37Z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0AC38DCDD12E4D038DE90E87A4D3B4F1</vt:lpwstr>
  </property>
  <property fmtid="{D5CDD505-2E9C-101B-9397-08002B2CF9AE}" pid="4" name="ContentTypeId">
    <vt:lpwstr>0x010100A815A4E3F40D3849A83AB053AC3A69FE</vt:lpwstr>
  </property>
</Properties>
</file>