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40" w:lineRule="exact"/>
        <w:jc w:val="center"/>
        <w:rPr>
          <w:rFonts w:hint="eastAsia" w:eastAsia="Times New Roman"/>
          <w:b/>
          <w:color w:val="auto"/>
          <w:sz w:val="30"/>
          <w:szCs w:val="30"/>
          <w:highlight w:val="none"/>
        </w:rPr>
      </w:pPr>
      <w:bookmarkStart w:id="2" w:name="_GoBack"/>
      <w:r>
        <w:rPr>
          <w:rFonts w:hint="eastAsia" w:eastAsia="Times New Roman"/>
          <w:b/>
          <w:color w:val="auto"/>
          <w:sz w:val="30"/>
          <w:szCs w:val="30"/>
          <w:highlight w:val="none"/>
        </w:rPr>
        <w:t>Seminar on Sustainable Development and Utilization of Bamboo and Rattan Resources for BRI Countries</w:t>
      </w:r>
    </w:p>
    <w:bookmarkEnd w:id="2"/>
    <w:tbl>
      <w:tblPr>
        <w:tblStyle w:val="5"/>
        <w:tblW w:w="10019"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16"/>
        <w:gridCol w:w="2134"/>
        <w:gridCol w:w="2089"/>
        <w:gridCol w:w="299"/>
        <w:gridCol w:w="1342"/>
        <w:gridCol w:w="253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88" w:hRule="exact"/>
          <w:jc w:val="center"/>
        </w:trPr>
        <w:tc>
          <w:tcPr>
            <w:tcW w:w="1616"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color w:val="auto"/>
                <w:highlight w:val="none"/>
              </w:rPr>
            </w:pPr>
            <w:r>
              <w:rPr>
                <w:rFonts w:eastAsia="Times New Roman"/>
                <w:color w:val="auto"/>
                <w:highlight w:val="none"/>
              </w:rPr>
              <w:t>Name</w:t>
            </w:r>
          </w:p>
        </w:tc>
        <w:tc>
          <w:tcPr>
            <w:tcW w:w="8403"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300" w:lineRule="exact"/>
              <w:jc w:val="center"/>
              <w:rPr>
                <w:color w:val="auto"/>
                <w:szCs w:val="21"/>
                <w:highlight w:val="none"/>
              </w:rPr>
            </w:pPr>
            <w:r>
              <w:rPr>
                <w:rFonts w:hint="eastAsia" w:eastAsia="Times New Roman"/>
                <w:color w:val="auto"/>
                <w:highlight w:val="none"/>
              </w:rPr>
              <w:t>Seminar on Sustainable Development and Utilization of Bamboo and Rattan Resources for BRI Countries</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10" w:hRule="exact"/>
          <w:jc w:val="center"/>
        </w:trPr>
        <w:tc>
          <w:tcPr>
            <w:tcW w:w="1616"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color w:val="auto"/>
                <w:highlight w:val="none"/>
              </w:rPr>
            </w:pPr>
            <w:r>
              <w:rPr>
                <w:rFonts w:eastAsia="Times New Roman"/>
                <w:color w:val="auto"/>
                <w:highlight w:val="none"/>
              </w:rPr>
              <w:t>Organiz</w:t>
            </w:r>
            <w:r>
              <w:rPr>
                <w:rFonts w:eastAsiaTheme="minorEastAsia"/>
                <w:color w:val="auto"/>
                <w:highlight w:val="none"/>
              </w:rPr>
              <w:t>er</w:t>
            </w:r>
          </w:p>
        </w:tc>
        <w:tc>
          <w:tcPr>
            <w:tcW w:w="8403"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300" w:lineRule="exact"/>
              <w:jc w:val="center"/>
              <w:rPr>
                <w:color w:val="auto"/>
                <w:highlight w:val="none"/>
              </w:rPr>
            </w:pPr>
            <w:r>
              <w:rPr>
                <w:rFonts w:eastAsia="Times New Roman"/>
                <w:color w:val="auto"/>
                <w:highlight w:val="none"/>
              </w:rPr>
              <w:t>International Center for Bamboo and Rattan</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10" w:hRule="exact"/>
          <w:jc w:val="center"/>
        </w:trPr>
        <w:tc>
          <w:tcPr>
            <w:tcW w:w="1616"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color w:val="auto"/>
                <w:highlight w:val="none"/>
              </w:rPr>
            </w:pPr>
            <w:r>
              <w:rPr>
                <w:rFonts w:eastAsiaTheme="minorEastAsia"/>
                <w:color w:val="auto"/>
                <w:highlight w:val="none"/>
              </w:rPr>
              <w:t>Time</w:t>
            </w:r>
          </w:p>
        </w:tc>
        <w:tc>
          <w:tcPr>
            <w:tcW w:w="4522"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300" w:lineRule="exact"/>
              <w:jc w:val="center"/>
              <w:rPr>
                <w:rFonts w:hint="eastAsia" w:eastAsiaTheme="minorEastAsia"/>
                <w:color w:val="auto"/>
                <w:highlight w:val="none"/>
                <w:lang w:val="en-US" w:eastAsia="zh-CN"/>
              </w:rPr>
            </w:pPr>
            <w:r>
              <w:rPr>
                <w:rFonts w:hint="eastAsia" w:eastAsiaTheme="minorEastAsia"/>
                <w:color w:val="auto"/>
                <w:highlight w:val="none"/>
              </w:rPr>
              <w:t>September 1</w:t>
            </w:r>
            <w:r>
              <w:rPr>
                <w:rFonts w:hint="eastAsia" w:eastAsiaTheme="minorEastAsia"/>
                <w:color w:val="auto"/>
                <w:highlight w:val="none"/>
                <w:lang w:val="en-US" w:eastAsia="zh-CN"/>
              </w:rPr>
              <w:t>4</w:t>
            </w:r>
            <w:r>
              <w:rPr>
                <w:rFonts w:hint="eastAsia" w:eastAsiaTheme="minorEastAsia"/>
                <w:color w:val="auto"/>
                <w:highlight w:val="none"/>
              </w:rPr>
              <w:t xml:space="preserve"> to 2</w:t>
            </w:r>
            <w:r>
              <w:rPr>
                <w:rFonts w:hint="eastAsia" w:eastAsiaTheme="minorEastAsia"/>
                <w:color w:val="auto"/>
                <w:highlight w:val="none"/>
                <w:lang w:val="en-US" w:eastAsia="zh-CN"/>
              </w:rPr>
              <w:t>7</w:t>
            </w:r>
            <w:r>
              <w:rPr>
                <w:rFonts w:hint="eastAsia" w:eastAsiaTheme="minorEastAsia"/>
                <w:color w:val="auto"/>
                <w:highlight w:val="none"/>
              </w:rPr>
              <w:t>, 202</w:t>
            </w:r>
            <w:r>
              <w:rPr>
                <w:rFonts w:hint="eastAsia" w:eastAsiaTheme="minorEastAsia"/>
                <w:color w:val="auto"/>
                <w:highlight w:val="none"/>
                <w:lang w:val="en-US" w:eastAsia="zh-CN"/>
              </w:rPr>
              <w:t>6</w:t>
            </w:r>
          </w:p>
        </w:tc>
        <w:tc>
          <w:tcPr>
            <w:tcW w:w="1342" w:type="dxa"/>
            <w:tcBorders>
              <w:top w:val="single" w:color="auto" w:sz="4" w:space="0"/>
              <w:left w:val="single" w:color="auto" w:sz="4" w:space="0"/>
              <w:bottom w:val="single" w:color="auto" w:sz="4" w:space="0"/>
              <w:right w:val="single" w:color="auto" w:sz="4" w:space="0"/>
            </w:tcBorders>
            <w:vAlign w:val="center"/>
          </w:tcPr>
          <w:p>
            <w:pPr>
              <w:snapToGrid w:val="0"/>
              <w:spacing w:line="340" w:lineRule="exact"/>
              <w:jc w:val="center"/>
              <w:rPr>
                <w:color w:val="auto"/>
                <w:highlight w:val="none"/>
              </w:rPr>
            </w:pPr>
            <w:r>
              <w:rPr>
                <w:rFonts w:eastAsia="Times New Roman"/>
                <w:color w:val="auto"/>
                <w:highlight w:val="none"/>
              </w:rPr>
              <w:t>Language</w:t>
            </w:r>
          </w:p>
        </w:tc>
        <w:tc>
          <w:tcPr>
            <w:tcW w:w="2539" w:type="dxa"/>
            <w:tcBorders>
              <w:top w:val="single" w:color="auto" w:sz="4" w:space="0"/>
              <w:left w:val="single" w:color="auto" w:sz="4" w:space="0"/>
              <w:bottom w:val="single" w:color="auto" w:sz="4" w:space="0"/>
              <w:right w:val="single" w:color="auto" w:sz="4" w:space="0"/>
            </w:tcBorders>
            <w:vAlign w:val="center"/>
          </w:tcPr>
          <w:p>
            <w:pPr>
              <w:snapToGrid w:val="0"/>
              <w:spacing w:line="340" w:lineRule="exact"/>
              <w:jc w:val="center"/>
              <w:rPr>
                <w:color w:val="auto"/>
                <w:highlight w:val="none"/>
              </w:rPr>
            </w:pPr>
            <w:r>
              <w:rPr>
                <w:rFonts w:eastAsia="Times New Roman"/>
                <w:color w:val="auto"/>
                <w:highlight w:val="none"/>
              </w:rPr>
              <w:t>English</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92" w:hRule="atLeast"/>
          <w:jc w:val="center"/>
        </w:trPr>
        <w:tc>
          <w:tcPr>
            <w:tcW w:w="1616"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color w:val="000000"/>
                <w:highlight w:val="none"/>
              </w:rPr>
            </w:pPr>
            <w:r>
              <w:rPr>
                <w:rFonts w:eastAsia="Times New Roman"/>
                <w:color w:val="000000"/>
                <w:highlight w:val="none"/>
              </w:rPr>
              <w:t>Invited Participants</w:t>
            </w:r>
          </w:p>
        </w:tc>
        <w:tc>
          <w:tcPr>
            <w:tcW w:w="8403"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340" w:lineRule="exact"/>
              <w:ind w:firstLine="420" w:firstLineChars="200"/>
              <w:rPr>
                <w:rFonts w:hint="default" w:eastAsia="宋体"/>
                <w:color w:val="000000"/>
                <w:szCs w:val="21"/>
                <w:highlight w:val="none"/>
                <w:lang w:val="en-US" w:eastAsia="zh-CN"/>
              </w:rPr>
            </w:pPr>
            <w:r>
              <w:rPr>
                <w:rFonts w:hint="eastAsia" w:eastAsia="Times New Roman"/>
                <w:color w:val="auto"/>
                <w:highlight w:val="none"/>
              </w:rPr>
              <w:t>Senior officials in the sectors of forestry, agriculture, science and technology, and natural resources, as well as senior management personnel from major enterprises, research institutes, and higher education institutions in Belt and Road partner countries.</w:t>
            </w:r>
            <w:r>
              <w:rPr>
                <w:rFonts w:hint="eastAsia"/>
                <w:color w:val="auto"/>
                <w:highlight w:val="none"/>
                <w:lang w:val="en-US" w:eastAsia="zh-CN"/>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0" w:hRule="exact"/>
          <w:jc w:val="center"/>
        </w:trPr>
        <w:tc>
          <w:tcPr>
            <w:tcW w:w="1616"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color w:val="000000"/>
                <w:highlight w:val="none"/>
              </w:rPr>
            </w:pPr>
            <w:r>
              <w:rPr>
                <w:rFonts w:eastAsia="Times New Roman"/>
                <w:color w:val="000000"/>
                <w:highlight w:val="none"/>
              </w:rPr>
              <w:t>Number of Participants</w:t>
            </w:r>
          </w:p>
        </w:tc>
        <w:tc>
          <w:tcPr>
            <w:tcW w:w="8403"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300" w:lineRule="exact"/>
              <w:jc w:val="center"/>
              <w:rPr>
                <w:color w:val="000000"/>
                <w:highlight w:val="none"/>
              </w:rPr>
            </w:pPr>
            <w:r>
              <w:rPr>
                <w:rFonts w:eastAsia="Times New Roman"/>
                <w:highlight w:val="none"/>
              </w:rPr>
              <w:t>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86" w:hRule="exact"/>
          <w:jc w:val="center"/>
        </w:trPr>
        <w:tc>
          <w:tcPr>
            <w:tcW w:w="1616" w:type="dxa"/>
            <w:vMerge w:val="restart"/>
            <w:tcBorders>
              <w:top w:val="single" w:color="auto" w:sz="4" w:space="0"/>
              <w:left w:val="single" w:color="auto" w:sz="4" w:space="0"/>
              <w:right w:val="single" w:color="auto" w:sz="4" w:space="0"/>
            </w:tcBorders>
            <w:vAlign w:val="center"/>
          </w:tcPr>
          <w:p>
            <w:pPr>
              <w:snapToGrid w:val="0"/>
              <w:spacing w:line="300" w:lineRule="exact"/>
              <w:jc w:val="center"/>
              <w:rPr>
                <w:color w:val="000000"/>
                <w:highlight w:val="none"/>
              </w:rPr>
            </w:pPr>
            <w:r>
              <w:rPr>
                <w:rFonts w:eastAsia="Times New Roman"/>
                <w:color w:val="000000"/>
                <w:highlight w:val="none"/>
              </w:rPr>
              <w:t>Requirements</w:t>
            </w:r>
            <w:r>
              <w:rPr>
                <w:rFonts w:eastAsiaTheme="minorEastAsia"/>
                <w:color w:val="000000"/>
                <w:highlight w:val="none"/>
              </w:rPr>
              <w:t xml:space="preserve"> for</w:t>
            </w:r>
            <w:r>
              <w:rPr>
                <w:rFonts w:eastAsia="Times New Roman"/>
                <w:color w:val="000000"/>
                <w:highlight w:val="none"/>
              </w:rPr>
              <w:t xml:space="preserve"> </w:t>
            </w:r>
            <w:r>
              <w:rPr>
                <w:rFonts w:eastAsiaTheme="minorEastAsia"/>
                <w:color w:val="000000"/>
                <w:highlight w:val="none"/>
              </w:rPr>
              <w:t xml:space="preserve">the </w:t>
            </w:r>
            <w:r>
              <w:rPr>
                <w:rFonts w:eastAsia="Times New Roman"/>
                <w:color w:val="000000"/>
                <w:highlight w:val="none"/>
              </w:rPr>
              <w:t>Participant</w:t>
            </w:r>
            <w:r>
              <w:rPr>
                <w:rFonts w:eastAsiaTheme="minorEastAsia"/>
                <w:color w:val="000000"/>
                <w:highlight w:val="none"/>
              </w:rPr>
              <w:t>s</w:t>
            </w:r>
          </w:p>
        </w:tc>
        <w:tc>
          <w:tcPr>
            <w:tcW w:w="2134" w:type="dxa"/>
            <w:tcBorders>
              <w:top w:val="single" w:color="auto" w:sz="4" w:space="0"/>
              <w:left w:val="single" w:color="auto" w:sz="4" w:space="0"/>
              <w:bottom w:val="single" w:color="auto" w:sz="4" w:space="0"/>
              <w:right w:val="single" w:color="auto" w:sz="4" w:space="0"/>
            </w:tcBorders>
            <w:vAlign w:val="center"/>
          </w:tcPr>
          <w:p>
            <w:pPr>
              <w:snapToGrid w:val="0"/>
              <w:spacing w:line="340" w:lineRule="exact"/>
              <w:jc w:val="center"/>
              <w:rPr>
                <w:color w:val="000000"/>
                <w:highlight w:val="none"/>
              </w:rPr>
            </w:pPr>
            <w:r>
              <w:rPr>
                <w:rFonts w:eastAsia="Times New Roman"/>
                <w:color w:val="000000"/>
                <w:highlight w:val="none"/>
              </w:rPr>
              <w:t>Age</w:t>
            </w:r>
          </w:p>
        </w:tc>
        <w:tc>
          <w:tcPr>
            <w:tcW w:w="6269" w:type="dxa"/>
            <w:gridSpan w:val="4"/>
            <w:tcBorders>
              <w:top w:val="single" w:color="auto" w:sz="4" w:space="0"/>
              <w:left w:val="single" w:color="auto" w:sz="4" w:space="0"/>
              <w:bottom w:val="single" w:color="auto" w:sz="4" w:space="0"/>
              <w:right w:val="single" w:color="auto" w:sz="4" w:space="0"/>
            </w:tcBorders>
            <w:vAlign w:val="center"/>
          </w:tcPr>
          <w:p>
            <w:pPr>
              <w:snapToGrid w:val="0"/>
              <w:spacing w:line="340" w:lineRule="exact"/>
              <w:jc w:val="center"/>
              <w:rPr>
                <w:szCs w:val="21"/>
                <w:highlight w:val="none"/>
              </w:rPr>
            </w:pPr>
            <w:r>
              <w:rPr>
                <w:highlight w:val="none"/>
              </w:rPr>
              <w:t>Under 50 for officials at the Director-General level; under 45 for officials at the Director level</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455" w:hRule="exact"/>
          <w:jc w:val="center"/>
        </w:trPr>
        <w:tc>
          <w:tcPr>
            <w:tcW w:w="1616" w:type="dxa"/>
            <w:vMerge w:val="continue"/>
            <w:tcBorders>
              <w:left w:val="single" w:color="auto" w:sz="4" w:space="0"/>
              <w:right w:val="single" w:color="auto" w:sz="4" w:space="0"/>
            </w:tcBorders>
            <w:vAlign w:val="center"/>
          </w:tcPr>
          <w:p>
            <w:pPr>
              <w:snapToGrid w:val="0"/>
              <w:spacing w:line="300" w:lineRule="exact"/>
              <w:jc w:val="center"/>
              <w:rPr>
                <w:color w:val="000000"/>
                <w:highlight w:val="none"/>
              </w:rPr>
            </w:pPr>
          </w:p>
        </w:tc>
        <w:tc>
          <w:tcPr>
            <w:tcW w:w="2134" w:type="dxa"/>
            <w:tcBorders>
              <w:top w:val="single" w:color="auto" w:sz="4" w:space="0"/>
              <w:left w:val="single" w:color="auto" w:sz="4" w:space="0"/>
              <w:bottom w:val="single" w:color="auto" w:sz="4" w:space="0"/>
              <w:right w:val="single" w:color="auto" w:sz="4" w:space="0"/>
            </w:tcBorders>
            <w:vAlign w:val="center"/>
          </w:tcPr>
          <w:p>
            <w:pPr>
              <w:snapToGrid w:val="0"/>
              <w:spacing w:line="340" w:lineRule="exact"/>
              <w:jc w:val="center"/>
              <w:rPr>
                <w:color w:val="000000"/>
                <w:highlight w:val="none"/>
              </w:rPr>
            </w:pPr>
            <w:r>
              <w:rPr>
                <w:rFonts w:eastAsia="Times New Roman"/>
                <w:color w:val="000000"/>
                <w:highlight w:val="none"/>
              </w:rPr>
              <w:t>Health</w:t>
            </w:r>
          </w:p>
        </w:tc>
        <w:tc>
          <w:tcPr>
            <w:tcW w:w="6269" w:type="dxa"/>
            <w:gridSpan w:val="4"/>
            <w:tcBorders>
              <w:top w:val="single" w:color="auto" w:sz="4" w:space="0"/>
              <w:left w:val="single" w:color="auto" w:sz="4" w:space="0"/>
              <w:bottom w:val="single" w:color="auto" w:sz="4" w:space="0"/>
              <w:right w:val="single" w:color="auto" w:sz="4" w:space="0"/>
            </w:tcBorders>
            <w:vAlign w:val="center"/>
          </w:tcPr>
          <w:p>
            <w:pPr>
              <w:snapToGrid w:val="0"/>
              <w:spacing w:line="340" w:lineRule="exact"/>
              <w:ind w:firstLine="420" w:firstLineChars="200"/>
              <w:rPr>
                <w:szCs w:val="21"/>
                <w:highlight w:val="none"/>
              </w:rPr>
            </w:pPr>
            <w:r>
              <w:rPr>
                <w:rFonts w:eastAsia="Times New Roman"/>
                <w:highlight w:val="none"/>
              </w:rPr>
              <w:t>Participants should be in good health, and provide a health certificate or medical examination form issued by a local public hospital. Participants should be free of diseases prohibited by Chinese laws and regulations from entering China, and free of other serious chronic diseases (such as severe hypertension, cardiovascular and cerebrovascular diseases, and diabetes), mental diseases or infectious diseases that may pose a significant public health risk. Participants shall not in the period of recovering from major surgery or acute illness, not be severely physically disabled, and not during a pregnancy period.</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70" w:hRule="exact"/>
          <w:jc w:val="center"/>
        </w:trPr>
        <w:tc>
          <w:tcPr>
            <w:tcW w:w="1616" w:type="dxa"/>
            <w:vMerge w:val="continue"/>
            <w:tcBorders>
              <w:left w:val="single" w:color="auto" w:sz="4" w:space="0"/>
              <w:right w:val="single" w:color="auto" w:sz="4" w:space="0"/>
            </w:tcBorders>
            <w:vAlign w:val="center"/>
          </w:tcPr>
          <w:p>
            <w:pPr>
              <w:snapToGrid w:val="0"/>
              <w:spacing w:line="300" w:lineRule="exact"/>
              <w:jc w:val="center"/>
              <w:rPr>
                <w:color w:val="000000"/>
                <w:highlight w:val="none"/>
              </w:rPr>
            </w:pPr>
          </w:p>
        </w:tc>
        <w:tc>
          <w:tcPr>
            <w:tcW w:w="2134" w:type="dxa"/>
            <w:tcBorders>
              <w:top w:val="single" w:color="auto" w:sz="4" w:space="0"/>
              <w:left w:val="single" w:color="auto" w:sz="4" w:space="0"/>
              <w:bottom w:val="single" w:color="auto" w:sz="4" w:space="0"/>
              <w:right w:val="single" w:color="auto" w:sz="4" w:space="0"/>
            </w:tcBorders>
            <w:vAlign w:val="center"/>
          </w:tcPr>
          <w:p>
            <w:pPr>
              <w:snapToGrid w:val="0"/>
              <w:spacing w:line="340" w:lineRule="exact"/>
              <w:jc w:val="center"/>
              <w:rPr>
                <w:color w:val="000000"/>
                <w:highlight w:val="none"/>
              </w:rPr>
            </w:pPr>
            <w:r>
              <w:rPr>
                <w:rFonts w:eastAsia="Times New Roman"/>
                <w:color w:val="000000"/>
                <w:highlight w:val="none"/>
              </w:rPr>
              <w:t>Language Requirements</w:t>
            </w:r>
          </w:p>
        </w:tc>
        <w:tc>
          <w:tcPr>
            <w:tcW w:w="6269" w:type="dxa"/>
            <w:gridSpan w:val="4"/>
            <w:tcBorders>
              <w:top w:val="single" w:color="auto" w:sz="4" w:space="0"/>
              <w:left w:val="single" w:color="auto" w:sz="4" w:space="0"/>
              <w:bottom w:val="single" w:color="auto" w:sz="4" w:space="0"/>
              <w:right w:val="single" w:color="auto" w:sz="4" w:space="0"/>
            </w:tcBorders>
            <w:vAlign w:val="center"/>
          </w:tcPr>
          <w:p>
            <w:pPr>
              <w:snapToGrid w:val="0"/>
              <w:spacing w:line="340" w:lineRule="exact"/>
              <w:jc w:val="center"/>
              <w:rPr>
                <w:color w:val="000000"/>
                <w:highlight w:val="none"/>
              </w:rPr>
            </w:pPr>
            <w:r>
              <w:rPr>
                <w:highlight w:val="none"/>
              </w:rPr>
              <w:t>Participants should be c</w:t>
            </w:r>
            <w:r>
              <w:rPr>
                <w:szCs w:val="21"/>
                <w:highlight w:val="none"/>
              </w:rPr>
              <w:t>apable of listening, speaking, reading and writing in English that can meet the requirements of the class.</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10" w:hRule="exact"/>
          <w:jc w:val="center"/>
        </w:trPr>
        <w:tc>
          <w:tcPr>
            <w:tcW w:w="1616" w:type="dxa"/>
            <w:vMerge w:val="continue"/>
            <w:tcBorders>
              <w:left w:val="single" w:color="auto" w:sz="4" w:space="0"/>
              <w:bottom w:val="single" w:color="auto" w:sz="4" w:space="0"/>
              <w:right w:val="single" w:color="auto" w:sz="4" w:space="0"/>
            </w:tcBorders>
            <w:vAlign w:val="center"/>
          </w:tcPr>
          <w:p>
            <w:pPr>
              <w:snapToGrid w:val="0"/>
              <w:spacing w:line="300" w:lineRule="exact"/>
              <w:jc w:val="center"/>
              <w:rPr>
                <w:color w:val="000000"/>
                <w:highlight w:val="none"/>
              </w:rPr>
            </w:pPr>
          </w:p>
        </w:tc>
        <w:tc>
          <w:tcPr>
            <w:tcW w:w="2134" w:type="dxa"/>
            <w:tcBorders>
              <w:top w:val="single" w:color="auto" w:sz="4" w:space="0"/>
              <w:left w:val="single" w:color="auto" w:sz="4" w:space="0"/>
              <w:bottom w:val="single" w:color="auto" w:sz="4" w:space="0"/>
              <w:right w:val="single" w:color="auto" w:sz="4" w:space="0"/>
            </w:tcBorders>
            <w:vAlign w:val="center"/>
          </w:tcPr>
          <w:p>
            <w:pPr>
              <w:snapToGrid w:val="0"/>
              <w:spacing w:line="340" w:lineRule="exact"/>
              <w:jc w:val="center"/>
              <w:rPr>
                <w:color w:val="000000"/>
                <w:highlight w:val="none"/>
              </w:rPr>
            </w:pPr>
            <w:r>
              <w:rPr>
                <w:rFonts w:eastAsia="Times New Roman"/>
                <w:color w:val="000000"/>
                <w:highlight w:val="none"/>
              </w:rPr>
              <w:t>Others</w:t>
            </w:r>
          </w:p>
        </w:tc>
        <w:tc>
          <w:tcPr>
            <w:tcW w:w="6269" w:type="dxa"/>
            <w:gridSpan w:val="4"/>
            <w:tcBorders>
              <w:top w:val="single" w:color="auto" w:sz="4" w:space="0"/>
              <w:left w:val="single" w:color="auto" w:sz="4" w:space="0"/>
              <w:bottom w:val="single" w:color="auto" w:sz="4" w:space="0"/>
              <w:right w:val="single" w:color="auto" w:sz="4" w:space="0"/>
            </w:tcBorders>
            <w:vAlign w:val="center"/>
          </w:tcPr>
          <w:p>
            <w:pPr>
              <w:snapToGrid w:val="0"/>
              <w:spacing w:line="340" w:lineRule="exact"/>
              <w:jc w:val="center"/>
              <w:rPr>
                <w:color w:val="000000"/>
                <w:highlight w:val="none"/>
              </w:rPr>
            </w:pPr>
            <w:r>
              <w:rPr>
                <w:szCs w:val="21"/>
                <w:highlight w:val="none"/>
              </w:rPr>
              <w:t>Family members or friends shall not follow.</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8" w:hRule="atLeast"/>
          <w:jc w:val="center"/>
        </w:trPr>
        <w:tc>
          <w:tcPr>
            <w:tcW w:w="1616"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color w:val="000000"/>
                <w:highlight w:val="none"/>
              </w:rPr>
            </w:pPr>
            <w:r>
              <w:rPr>
                <w:szCs w:val="21"/>
                <w:highlight w:val="none"/>
              </w:rPr>
              <w:t>Host City</w:t>
            </w:r>
          </w:p>
        </w:tc>
        <w:tc>
          <w:tcPr>
            <w:tcW w:w="2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color w:val="000000"/>
                <w:highlight w:val="none"/>
              </w:rPr>
            </w:pPr>
            <w:r>
              <w:rPr>
                <w:rFonts w:eastAsia="Times New Roman"/>
                <w:highlight w:val="none"/>
              </w:rPr>
              <w:t>Beijing</w:t>
            </w:r>
          </w:p>
        </w:tc>
        <w:tc>
          <w:tcPr>
            <w:tcW w:w="208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color w:val="000000"/>
                <w:highlight w:val="none"/>
              </w:rPr>
            </w:pPr>
            <w:r>
              <w:rPr>
                <w:szCs w:val="21"/>
                <w:highlight w:val="none"/>
              </w:rPr>
              <w:t>Local Temperature</w:t>
            </w:r>
          </w:p>
        </w:tc>
        <w:tc>
          <w:tcPr>
            <w:tcW w:w="4180" w:type="dxa"/>
            <w:gridSpan w:val="3"/>
            <w:tcBorders>
              <w:top w:val="single" w:color="auto" w:sz="4" w:space="0"/>
              <w:left w:val="single" w:color="auto" w:sz="4" w:space="0"/>
              <w:bottom w:val="single" w:color="auto" w:sz="4" w:space="0"/>
              <w:right w:val="single" w:color="auto" w:sz="4" w:space="0"/>
            </w:tcBorders>
            <w:vAlign w:val="center"/>
          </w:tcPr>
          <w:p>
            <w:pPr>
              <w:spacing w:line="300" w:lineRule="exact"/>
              <w:jc w:val="center"/>
              <w:rPr>
                <w:color w:val="000000"/>
                <w:highlight w:val="none"/>
              </w:rPr>
            </w:pPr>
            <w:r>
              <w:rPr>
                <w:rFonts w:hint="eastAsia"/>
                <w:color w:val="auto"/>
                <w:sz w:val="22"/>
                <w:highlight w:val="none"/>
                <w:lang w:val="en-US" w:eastAsia="zh-CN"/>
              </w:rPr>
              <w:t>25</w:t>
            </w:r>
            <w:r>
              <w:rPr>
                <w:rFonts w:eastAsia="Times New Roman"/>
                <w:color w:val="auto"/>
                <w:sz w:val="22"/>
                <w:highlight w:val="none"/>
              </w:rPr>
              <w:t>℃</w:t>
            </w:r>
            <w:r>
              <w:rPr>
                <w:rFonts w:hint="eastAsia"/>
                <w:color w:val="auto"/>
                <w:sz w:val="22"/>
                <w:highlight w:val="none"/>
                <w:lang w:val="en-US" w:eastAsia="zh-CN"/>
              </w:rPr>
              <w:t>~</w:t>
            </w:r>
            <w:r>
              <w:rPr>
                <w:rFonts w:hint="eastAsia"/>
                <w:highlight w:val="none"/>
                <w:lang w:val="en-US" w:eastAsia="zh-CN"/>
              </w:rPr>
              <w:t>35</w:t>
            </w:r>
            <w:r>
              <w:rPr>
                <w:rFonts w:eastAsia="Times New Roman"/>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000" w:hRule="exact"/>
          <w:jc w:val="center"/>
        </w:trPr>
        <w:tc>
          <w:tcPr>
            <w:tcW w:w="1616"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color w:val="000000"/>
                <w:highlight w:val="none"/>
              </w:rPr>
            </w:pPr>
            <w:r>
              <w:rPr>
                <w:szCs w:val="21"/>
                <w:highlight w:val="none"/>
              </w:rPr>
              <w:t>Cities to Visit</w:t>
            </w:r>
          </w:p>
        </w:tc>
        <w:tc>
          <w:tcPr>
            <w:tcW w:w="2134" w:type="dxa"/>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300" w:lineRule="exact"/>
              <w:jc w:val="center"/>
              <w:rPr>
                <w:color w:val="auto"/>
                <w:highlight w:val="none"/>
              </w:rPr>
            </w:pPr>
            <w:r>
              <w:rPr>
                <w:rFonts w:hint="eastAsia"/>
                <w:color w:val="auto"/>
                <w:highlight w:val="none"/>
                <w:lang w:val="en-US" w:eastAsia="zh-CN"/>
              </w:rPr>
              <w:t xml:space="preserve">Meishan City,Sichuan </w:t>
            </w:r>
            <w:r>
              <w:rPr>
                <w:rFonts w:eastAsia="Times New Roman"/>
                <w:color w:val="auto"/>
                <w:highlight w:val="none"/>
              </w:rPr>
              <w:t>Province</w:t>
            </w:r>
          </w:p>
        </w:tc>
        <w:tc>
          <w:tcPr>
            <w:tcW w:w="208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color w:val="auto"/>
                <w:highlight w:val="none"/>
              </w:rPr>
            </w:pPr>
            <w:r>
              <w:rPr>
                <w:color w:val="auto"/>
                <w:szCs w:val="21"/>
                <w:highlight w:val="none"/>
              </w:rPr>
              <w:t>Local Temperature</w:t>
            </w:r>
          </w:p>
        </w:tc>
        <w:tc>
          <w:tcPr>
            <w:tcW w:w="4180"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80" w:lineRule="exact"/>
              <w:jc w:val="center"/>
              <w:rPr>
                <w:color w:val="auto"/>
                <w:highlight w:val="none"/>
              </w:rPr>
            </w:pPr>
            <w:r>
              <w:rPr>
                <w:rFonts w:eastAsia="Times New Roman"/>
                <w:color w:val="auto"/>
                <w:highlight w:val="none"/>
              </w:rPr>
              <w:t>2</w:t>
            </w:r>
            <w:r>
              <w:rPr>
                <w:rFonts w:hint="eastAsia"/>
                <w:color w:val="auto"/>
                <w:highlight w:val="none"/>
                <w:lang w:val="en-US" w:eastAsia="zh-CN"/>
              </w:rPr>
              <w:t>5</w:t>
            </w:r>
            <w:r>
              <w:rPr>
                <w:rFonts w:eastAsia="Times New Roman"/>
                <w:color w:val="auto"/>
                <w:sz w:val="22"/>
                <w:highlight w:val="none"/>
              </w:rPr>
              <w:t>℃</w:t>
            </w:r>
            <w:r>
              <w:rPr>
                <w:rFonts w:hint="eastAsia"/>
                <w:color w:val="auto"/>
                <w:sz w:val="22"/>
                <w:highlight w:val="none"/>
                <w:lang w:val="en-US" w:eastAsia="zh-CN"/>
              </w:rPr>
              <w:t>~</w:t>
            </w:r>
            <w:r>
              <w:rPr>
                <w:rFonts w:eastAsia="Times New Roman"/>
                <w:color w:val="auto"/>
                <w:highlight w:val="none"/>
              </w:rPr>
              <w:t>3</w:t>
            </w:r>
            <w:r>
              <w:rPr>
                <w:rFonts w:hint="eastAsia"/>
                <w:color w:val="auto"/>
                <w:highlight w:val="none"/>
                <w:lang w:val="en-US" w:eastAsia="zh-CN"/>
              </w:rPr>
              <w:t>5</w:t>
            </w:r>
            <w:r>
              <w:rPr>
                <w:rFonts w:eastAsia="Times New Roman"/>
                <w:color w:val="auto"/>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975" w:hRule="atLeast"/>
          <w:jc w:val="center"/>
        </w:trPr>
        <w:tc>
          <w:tcPr>
            <w:tcW w:w="1616"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jc w:val="center"/>
              <w:rPr>
                <w:color w:val="000000"/>
                <w:highlight w:val="none"/>
              </w:rPr>
            </w:pPr>
            <w:r>
              <w:rPr>
                <w:rFonts w:eastAsia="Times New Roman"/>
                <w:color w:val="000000"/>
                <w:highlight w:val="none"/>
              </w:rPr>
              <w:t>Remarks</w:t>
            </w:r>
          </w:p>
        </w:tc>
        <w:tc>
          <w:tcPr>
            <w:tcW w:w="8403"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40" w:lineRule="exact"/>
              <w:rPr>
                <w:rFonts w:hint="default"/>
                <w:highlight w:val="none"/>
                <w:lang w:val="en-US" w:eastAsia="zh-CN"/>
              </w:rPr>
            </w:pPr>
            <w:bookmarkStart w:id="0" w:name="projectAgCommentsEn"/>
            <w:bookmarkStart w:id="1" w:name="projectIniComEn"/>
            <w:r>
              <w:rPr>
                <w:rFonts w:ascii="Times New Roman" w:hAnsi="Times New Roman" w:eastAsia="Times New Roman" w:cs="Times New Roman"/>
                <w:sz w:val="22"/>
                <w:highlight w:val="none"/>
              </w:rPr>
              <w:t>1. About the visa: Please ensure that the visa validity covers 5 days before the project starts until 5 days after the project ends.</w:t>
            </w:r>
            <w:r>
              <w:rPr>
                <w:rFonts w:ascii="Times New Roman" w:hAnsi="Times New Roman" w:eastAsia="Times New Roman" w:cs="Times New Roman"/>
                <w:sz w:val="22"/>
                <w:highlight w:val="none"/>
              </w:rPr>
              <w:br w:type="textWrapping" w:clear="all"/>
            </w:r>
            <w:r>
              <w:rPr>
                <w:rFonts w:ascii="Times New Roman" w:hAnsi="Times New Roman" w:eastAsia="Times New Roman" w:cs="Times New Roman"/>
                <w:sz w:val="22"/>
                <w:highlight w:val="none"/>
              </w:rPr>
              <w:t>2. Please pay attention to the standards for permitted baggage on international and domestic flights in China. Any costs incurred due to excess baggage and responsibilities arising from baggage disputes, such as missed flights, shall be borne by individuals.</w:t>
            </w:r>
            <w:r>
              <w:rPr>
                <w:rFonts w:ascii="Times New Roman" w:hAnsi="Times New Roman" w:eastAsia="Times New Roman" w:cs="Times New Roman"/>
                <w:sz w:val="22"/>
                <w:highlight w:val="none"/>
              </w:rPr>
              <w:br w:type="textWrapping" w:clear="all"/>
            </w:r>
            <w:r>
              <w:rPr>
                <w:rFonts w:ascii="Times New Roman" w:hAnsi="Times New Roman" w:eastAsia="Times New Roman" w:cs="Times New Roman"/>
                <w:sz w:val="22"/>
                <w:highlight w:val="none"/>
              </w:rPr>
              <w:t>3. If you cannot depart on time due to special circumstances, or if there are flight delays during a transfer, please inform the contact person of the organizer in a timely manner.</w:t>
            </w:r>
            <w:r>
              <w:rPr>
                <w:rFonts w:ascii="Times New Roman" w:hAnsi="Times New Roman" w:eastAsia="Times New Roman" w:cs="Times New Roman"/>
                <w:sz w:val="22"/>
                <w:highlight w:val="none"/>
              </w:rPr>
              <w:br w:type="textWrapping" w:clear="all"/>
            </w:r>
            <w:r>
              <w:rPr>
                <w:rFonts w:ascii="Times New Roman" w:hAnsi="Times New Roman" w:eastAsia="Times New Roman" w:cs="Times New Roman"/>
                <w:sz w:val="22"/>
                <w:highlight w:val="none"/>
              </w:rPr>
              <w:t>4. Any unauthorized changes to the ticket or any ticket cancellations or modifications due to personal reasons will result in costs and liabilities borne by individuals.</w:t>
            </w:r>
            <w:r>
              <w:rPr>
                <w:rFonts w:ascii="Times New Roman" w:hAnsi="Times New Roman" w:eastAsia="Times New Roman" w:cs="Times New Roman"/>
                <w:sz w:val="22"/>
                <w:highlight w:val="none"/>
              </w:rPr>
              <w:br w:type="textWrapping" w:clear="all"/>
            </w:r>
            <w:r>
              <w:rPr>
                <w:rFonts w:ascii="Times New Roman" w:hAnsi="Times New Roman" w:eastAsia="Times New Roman" w:cs="Times New Roman"/>
                <w:sz w:val="22"/>
                <w:highlight w:val="none"/>
              </w:rPr>
              <w:t>5. Please bring a small quantity of commonly used medicines, such as those for preventing and treating malaria and colds. It is strictly prohibited to bring illegal or over-limit medicines into China.</w:t>
            </w:r>
            <w:r>
              <w:rPr>
                <w:rFonts w:ascii="Times New Roman" w:hAnsi="Times New Roman" w:eastAsia="Times New Roman" w:cs="Times New Roman"/>
                <w:sz w:val="22"/>
                <w:highlight w:val="none"/>
              </w:rPr>
              <w:br w:type="textWrapping" w:clear="all"/>
            </w:r>
            <w:r>
              <w:rPr>
                <w:rFonts w:ascii="Times New Roman" w:hAnsi="Times New Roman" w:eastAsia="Times New Roman" w:cs="Times New Roman"/>
                <w:sz w:val="22"/>
                <w:highlight w:val="none"/>
              </w:rPr>
              <w:t>6. Please apply for accounts for internet phone services like Skype and top them up before coming to China, to facilitate timely communication with family. Some hotels do not provide computers, so please bring your own if needed.</w:t>
            </w:r>
            <w:r>
              <w:rPr>
                <w:rFonts w:ascii="Times New Roman" w:hAnsi="Times New Roman" w:eastAsia="Times New Roman" w:cs="Times New Roman"/>
                <w:sz w:val="22"/>
                <w:highlight w:val="none"/>
              </w:rPr>
              <w:br w:type="textWrapping" w:clear="all"/>
            </w:r>
            <w:r>
              <w:rPr>
                <w:rFonts w:ascii="Times New Roman" w:hAnsi="Times New Roman" w:eastAsia="Times New Roman" w:cs="Times New Roman"/>
                <w:sz w:val="22"/>
                <w:highlight w:val="none"/>
              </w:rPr>
              <w:t>7. Please bring formal attire or national costumes for ceremonies and discussions; also, bring comfortable shoes for outdoor visits.</w:t>
            </w:r>
            <w:r>
              <w:rPr>
                <w:rFonts w:ascii="Times New Roman" w:hAnsi="Times New Roman" w:eastAsia="Times New Roman" w:cs="Times New Roman"/>
                <w:sz w:val="22"/>
                <w:highlight w:val="none"/>
              </w:rPr>
              <w:br w:type="textWrapping" w:clear="all"/>
            </w:r>
            <w:r>
              <w:rPr>
                <w:rFonts w:ascii="Times New Roman" w:hAnsi="Times New Roman" w:eastAsia="Times New Roman" w:cs="Times New Roman"/>
                <w:sz w:val="22"/>
                <w:highlight w:val="none"/>
              </w:rPr>
              <w:t>8. Please prepare a country report on bamboo and rattan resources and utilization.</w:t>
            </w:r>
            <w:r>
              <w:rPr>
                <w:rFonts w:ascii="Times New Roman" w:hAnsi="Times New Roman" w:eastAsia="Times New Roman" w:cs="Times New Roman"/>
                <w:sz w:val="22"/>
                <w:highlight w:val="none"/>
              </w:rPr>
              <w:br w:type="textWrapping" w:clear="all"/>
            </w:r>
            <w:r>
              <w:rPr>
                <w:rFonts w:ascii="Times New Roman" w:hAnsi="Times New Roman" w:eastAsia="Times New Roman" w:cs="Times New Roman"/>
                <w:sz w:val="22"/>
                <w:highlight w:val="none"/>
              </w:rPr>
              <w:t>9. Safety comes first during your stay in China. In case of emergencies, please contact the organizer immediately；</w:t>
            </w:r>
            <w:r>
              <w:rPr>
                <w:rFonts w:ascii="Times New Roman" w:hAnsi="Times New Roman" w:eastAsia="Times New Roman" w:cs="Times New Roman"/>
                <w:sz w:val="22"/>
                <w:highlight w:val="none"/>
              </w:rPr>
              <w:br w:type="textWrapping" w:clear="all"/>
            </w:r>
            <w:r>
              <w:rPr>
                <w:rFonts w:ascii="Times New Roman" w:hAnsi="Times New Roman" w:eastAsia="Times New Roman" w:cs="Times New Roman"/>
                <w:sz w:val="22"/>
                <w:highlight w:val="none"/>
              </w:rPr>
              <w:t>10. Visiting and course arrangements may be adjusted according to actual circumstances.</w:t>
            </w:r>
            <w:bookmarkEnd w:id="0"/>
            <w:bookmarkEnd w:id="1"/>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1" w:hRule="exact"/>
          <w:jc w:val="center"/>
        </w:trPr>
        <w:tc>
          <w:tcPr>
            <w:tcW w:w="1616" w:type="dxa"/>
            <w:vMerge w:val="restart"/>
            <w:tcBorders>
              <w:top w:val="single" w:color="auto" w:sz="4" w:space="0"/>
              <w:left w:val="single" w:color="auto" w:sz="4" w:space="0"/>
              <w:right w:val="single" w:color="auto" w:sz="4" w:space="0"/>
            </w:tcBorders>
            <w:vAlign w:val="center"/>
          </w:tcPr>
          <w:p>
            <w:pPr>
              <w:snapToGrid w:val="0"/>
              <w:spacing w:line="300" w:lineRule="exact"/>
              <w:jc w:val="center"/>
              <w:rPr>
                <w:color w:val="000000"/>
                <w:highlight w:val="none"/>
              </w:rPr>
            </w:pPr>
            <w:r>
              <w:rPr>
                <w:rFonts w:eastAsia="Times New Roman"/>
                <w:color w:val="000000"/>
                <w:highlight w:val="none"/>
              </w:rPr>
              <w:t>Contact of the Organizer</w:t>
            </w:r>
          </w:p>
        </w:tc>
        <w:tc>
          <w:tcPr>
            <w:tcW w:w="2134" w:type="dxa"/>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300" w:lineRule="exact"/>
              <w:jc w:val="center"/>
              <w:rPr>
                <w:color w:val="000000"/>
                <w:highlight w:val="none"/>
              </w:rPr>
            </w:pPr>
            <w:r>
              <w:rPr>
                <w:rFonts w:eastAsia="Times New Roman"/>
                <w:color w:val="000000"/>
                <w:highlight w:val="none"/>
              </w:rPr>
              <w:t>Contact Person</w:t>
            </w:r>
          </w:p>
        </w:tc>
        <w:tc>
          <w:tcPr>
            <w:tcW w:w="6269"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300" w:lineRule="exact"/>
              <w:jc w:val="left"/>
              <w:rPr>
                <w:color w:val="000000"/>
                <w:highlight w:val="none"/>
                <w:lang w:val="it-IT"/>
              </w:rPr>
            </w:pPr>
            <w:r>
              <w:rPr>
                <w:rFonts w:eastAsia="Times New Roman"/>
                <w:highlight w:val="none"/>
                <w:lang w:val="it-IT"/>
              </w:rPr>
              <w:t>M</w:t>
            </w:r>
            <w:r>
              <w:rPr>
                <w:rFonts w:hint="eastAsia"/>
                <w:highlight w:val="none"/>
                <w:lang w:val="en-US" w:eastAsia="zh-CN"/>
              </w:rPr>
              <w:t>r</w:t>
            </w:r>
            <w:r>
              <w:rPr>
                <w:rFonts w:eastAsia="Times New Roman"/>
                <w:highlight w:val="none"/>
                <w:lang w:val="it-IT"/>
              </w:rPr>
              <w:t>.</w:t>
            </w:r>
            <w:r>
              <w:rPr>
                <w:rFonts w:eastAsiaTheme="minorEastAsia"/>
                <w:highlight w:val="none"/>
                <w:lang w:val="it-IT"/>
              </w:rPr>
              <w:t xml:space="preserve"> </w:t>
            </w:r>
            <w:r>
              <w:rPr>
                <w:rFonts w:hint="eastAsia" w:eastAsiaTheme="minorEastAsia"/>
                <w:highlight w:val="none"/>
                <w:lang w:val="en-US" w:eastAsia="zh-CN"/>
              </w:rPr>
              <w:t>Sun Lianpeng</w:t>
            </w:r>
            <w:r>
              <w:rPr>
                <w:rFonts w:eastAsia="Times New Roman"/>
                <w:highlight w:val="none"/>
                <w:lang w:val="it-IT"/>
              </w:rPr>
              <w:t>, Ms.</w:t>
            </w:r>
            <w:r>
              <w:rPr>
                <w:rFonts w:eastAsiaTheme="minorEastAsia"/>
                <w:highlight w:val="none"/>
                <w:lang w:val="it-IT"/>
              </w:rPr>
              <w:t xml:space="preserve"> </w:t>
            </w:r>
            <w:r>
              <w:rPr>
                <w:rFonts w:eastAsia="Times New Roman"/>
                <w:highlight w:val="none"/>
                <w:lang w:val="it-IT"/>
              </w:rPr>
              <w:t>Han Zhuoxi</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1" w:hRule="exact"/>
          <w:jc w:val="center"/>
        </w:trPr>
        <w:tc>
          <w:tcPr>
            <w:tcW w:w="1616" w:type="dxa"/>
            <w:vMerge w:val="continue"/>
            <w:tcBorders>
              <w:left w:val="single" w:color="auto" w:sz="4" w:space="0"/>
              <w:right w:val="single" w:color="auto" w:sz="4" w:space="0"/>
            </w:tcBorders>
            <w:vAlign w:val="center"/>
          </w:tcPr>
          <w:p>
            <w:pPr>
              <w:snapToGrid w:val="0"/>
              <w:spacing w:line="300" w:lineRule="exact"/>
              <w:jc w:val="center"/>
              <w:rPr>
                <w:color w:val="000000"/>
                <w:highlight w:val="none"/>
                <w:lang w:val="it-IT"/>
              </w:rPr>
            </w:pPr>
          </w:p>
        </w:tc>
        <w:tc>
          <w:tcPr>
            <w:tcW w:w="2134" w:type="dxa"/>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300" w:lineRule="exact"/>
              <w:jc w:val="center"/>
              <w:rPr>
                <w:color w:val="000000"/>
                <w:highlight w:val="none"/>
              </w:rPr>
            </w:pPr>
            <w:r>
              <w:rPr>
                <w:szCs w:val="21"/>
                <w:highlight w:val="none"/>
              </w:rPr>
              <w:t>Telephone</w:t>
            </w:r>
          </w:p>
        </w:tc>
        <w:tc>
          <w:tcPr>
            <w:tcW w:w="6269"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left"/>
              <w:rPr>
                <w:color w:val="000000"/>
                <w:szCs w:val="21"/>
                <w:highlight w:val="none"/>
              </w:rPr>
            </w:pPr>
            <w:r>
              <w:rPr>
                <w:rFonts w:eastAsia="Times New Roman"/>
                <w:highlight w:val="none"/>
              </w:rPr>
              <w:t>0086-010-84789718 (Han Zhuoxi)</w:t>
            </w:r>
            <w:r>
              <w:rPr>
                <w:rFonts w:hint="eastAsia"/>
                <w:highlight w:val="none"/>
                <w:lang w:val="en-US" w:eastAsia="zh-CN"/>
              </w:rPr>
              <w:t>,</w:t>
            </w:r>
            <w:r>
              <w:rPr>
                <w:rFonts w:eastAsia="Times New Roman"/>
                <w:highlight w:val="none"/>
              </w:rPr>
              <w:t>0086-010-847897</w:t>
            </w:r>
            <w:r>
              <w:rPr>
                <w:rFonts w:hint="eastAsia"/>
                <w:highlight w:val="none"/>
                <w:lang w:val="en-US" w:eastAsia="zh-CN"/>
              </w:rPr>
              <w:t>11</w:t>
            </w:r>
            <w:r>
              <w:rPr>
                <w:rFonts w:eastAsia="Times New Roman"/>
                <w:highlight w:val="none"/>
              </w:rPr>
              <w:t xml:space="preserve"> </w:t>
            </w:r>
            <w:r>
              <w:rPr>
                <w:rFonts w:hint="eastAsia"/>
                <w:highlight w:val="none"/>
                <w:lang w:val="en-US" w:eastAsia="zh-CN"/>
              </w:rPr>
              <w:t>(</w:t>
            </w:r>
            <w:r>
              <w:rPr>
                <w:rFonts w:hint="eastAsia" w:eastAsiaTheme="minorEastAsia"/>
                <w:highlight w:val="none"/>
                <w:lang w:val="en-US" w:eastAsia="zh-CN"/>
              </w:rPr>
              <w:t>Sun Lianpeng</w:t>
            </w:r>
            <w:r>
              <w:rPr>
                <w:rFonts w:eastAsia="Times New Roman"/>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1" w:hRule="exact"/>
          <w:jc w:val="center"/>
        </w:trPr>
        <w:tc>
          <w:tcPr>
            <w:tcW w:w="1616" w:type="dxa"/>
            <w:vMerge w:val="continue"/>
            <w:tcBorders>
              <w:left w:val="single" w:color="auto" w:sz="4" w:space="0"/>
              <w:right w:val="single" w:color="auto" w:sz="4" w:space="0"/>
            </w:tcBorders>
            <w:vAlign w:val="center"/>
          </w:tcPr>
          <w:p>
            <w:pPr>
              <w:snapToGrid w:val="0"/>
              <w:spacing w:line="300" w:lineRule="exact"/>
              <w:jc w:val="center"/>
              <w:rPr>
                <w:color w:val="000000"/>
                <w:highlight w:val="none"/>
              </w:rPr>
            </w:pPr>
          </w:p>
        </w:tc>
        <w:tc>
          <w:tcPr>
            <w:tcW w:w="2134" w:type="dxa"/>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300" w:lineRule="exact"/>
              <w:jc w:val="center"/>
              <w:rPr>
                <w:color w:val="000000"/>
                <w:highlight w:val="none"/>
              </w:rPr>
            </w:pPr>
            <w:r>
              <w:rPr>
                <w:rFonts w:eastAsia="Times New Roman"/>
                <w:color w:val="000000"/>
                <w:highlight w:val="none"/>
              </w:rPr>
              <w:t>Mobile</w:t>
            </w:r>
          </w:p>
        </w:tc>
        <w:tc>
          <w:tcPr>
            <w:tcW w:w="6269"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left"/>
              <w:rPr>
                <w:color w:val="000000"/>
                <w:szCs w:val="21"/>
                <w:highlight w:val="none"/>
              </w:rPr>
            </w:pPr>
            <w:r>
              <w:rPr>
                <w:rFonts w:eastAsia="Times New Roman"/>
                <w:highlight w:val="none"/>
              </w:rPr>
              <w:t>0086-13981969851 (Han Zhuoxi)</w:t>
            </w:r>
            <w:r>
              <w:rPr>
                <w:rFonts w:hint="eastAsia"/>
                <w:highlight w:val="none"/>
                <w:lang w:val="en-US" w:eastAsia="zh-CN"/>
              </w:rPr>
              <w:t>,</w:t>
            </w:r>
            <w:r>
              <w:rPr>
                <w:rFonts w:eastAsia="Times New Roman"/>
                <w:highlight w:val="none"/>
              </w:rPr>
              <w:t>0086-010-</w:t>
            </w:r>
            <w:r>
              <w:rPr>
                <w:rFonts w:hint="eastAsia"/>
                <w:highlight w:val="none"/>
                <w:lang w:val="en-US" w:eastAsia="zh-CN"/>
              </w:rPr>
              <w:t>15810445459</w:t>
            </w:r>
            <w:r>
              <w:rPr>
                <w:rFonts w:eastAsia="Times New Roman"/>
                <w:highlight w:val="none"/>
              </w:rPr>
              <w:t xml:space="preserve"> (</w:t>
            </w:r>
            <w:r>
              <w:rPr>
                <w:rFonts w:hint="eastAsia" w:eastAsiaTheme="minorEastAsia"/>
                <w:highlight w:val="none"/>
                <w:lang w:val="en-US" w:eastAsia="zh-CN"/>
              </w:rPr>
              <w:t>Sun Lianpeng</w:t>
            </w:r>
            <w:r>
              <w:rPr>
                <w:rFonts w:eastAsia="Times New Roman"/>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1" w:hRule="exact"/>
          <w:jc w:val="center"/>
        </w:trPr>
        <w:tc>
          <w:tcPr>
            <w:tcW w:w="1616" w:type="dxa"/>
            <w:vMerge w:val="continue"/>
            <w:tcBorders>
              <w:left w:val="single" w:color="auto" w:sz="4" w:space="0"/>
              <w:right w:val="single" w:color="auto" w:sz="4" w:space="0"/>
            </w:tcBorders>
            <w:vAlign w:val="center"/>
          </w:tcPr>
          <w:p>
            <w:pPr>
              <w:snapToGrid w:val="0"/>
              <w:spacing w:line="300" w:lineRule="exact"/>
              <w:jc w:val="center"/>
              <w:rPr>
                <w:color w:val="000000"/>
                <w:highlight w:val="none"/>
              </w:rPr>
            </w:pPr>
          </w:p>
        </w:tc>
        <w:tc>
          <w:tcPr>
            <w:tcW w:w="2134" w:type="dxa"/>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300" w:lineRule="exact"/>
              <w:jc w:val="center"/>
              <w:rPr>
                <w:color w:val="000000"/>
                <w:highlight w:val="none"/>
              </w:rPr>
            </w:pPr>
            <w:r>
              <w:rPr>
                <w:rFonts w:eastAsia="Times New Roman"/>
                <w:color w:val="000000"/>
                <w:highlight w:val="none"/>
              </w:rPr>
              <w:t>Fax</w:t>
            </w:r>
          </w:p>
        </w:tc>
        <w:tc>
          <w:tcPr>
            <w:tcW w:w="6269"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300" w:lineRule="exact"/>
              <w:jc w:val="left"/>
              <w:rPr>
                <w:color w:val="000000"/>
                <w:szCs w:val="21"/>
                <w:highlight w:val="none"/>
              </w:rPr>
            </w:pPr>
            <w:r>
              <w:rPr>
                <w:rFonts w:eastAsia="Times New Roman"/>
                <w:highlight w:val="none"/>
              </w:rPr>
              <w:t>0086-10-64722290 (Han Zhuoxi)</w:t>
            </w:r>
            <w:r>
              <w:rPr>
                <w:rFonts w:hint="eastAsia"/>
                <w:highlight w:val="none"/>
                <w:lang w:val="en-US" w:eastAsia="zh-CN"/>
              </w:rPr>
              <w:t>,</w:t>
            </w:r>
            <w:r>
              <w:rPr>
                <w:rFonts w:eastAsia="Times New Roman"/>
                <w:highlight w:val="none"/>
              </w:rPr>
              <w:t>0086-10-64722290 (</w:t>
            </w:r>
            <w:r>
              <w:rPr>
                <w:rFonts w:hint="eastAsia" w:eastAsiaTheme="minorEastAsia"/>
                <w:highlight w:val="none"/>
                <w:lang w:val="en-US" w:eastAsia="zh-CN"/>
              </w:rPr>
              <w:t>Sun Lianpeng</w:t>
            </w:r>
            <w:r>
              <w:rPr>
                <w:rFonts w:eastAsia="Times New Roman"/>
                <w:highlight w:val="non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11" w:hRule="exact"/>
          <w:jc w:val="center"/>
        </w:trPr>
        <w:tc>
          <w:tcPr>
            <w:tcW w:w="1616" w:type="dxa"/>
            <w:vMerge w:val="continue"/>
            <w:tcBorders>
              <w:left w:val="single" w:color="auto" w:sz="4" w:space="0"/>
              <w:bottom w:val="single" w:color="auto" w:sz="4" w:space="0"/>
              <w:right w:val="single" w:color="auto" w:sz="4" w:space="0"/>
            </w:tcBorders>
            <w:vAlign w:val="center"/>
          </w:tcPr>
          <w:p>
            <w:pPr>
              <w:snapToGrid w:val="0"/>
              <w:spacing w:line="300" w:lineRule="exact"/>
              <w:jc w:val="center"/>
              <w:rPr>
                <w:color w:val="000000"/>
                <w:highlight w:val="none"/>
              </w:rPr>
            </w:pPr>
          </w:p>
        </w:tc>
        <w:tc>
          <w:tcPr>
            <w:tcW w:w="2134" w:type="dxa"/>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300" w:lineRule="exact"/>
              <w:jc w:val="center"/>
              <w:rPr>
                <w:color w:val="000000"/>
                <w:highlight w:val="none"/>
              </w:rPr>
            </w:pPr>
            <w:r>
              <w:rPr>
                <w:rFonts w:eastAsia="Times New Roman"/>
                <w:color w:val="000000"/>
                <w:highlight w:val="none"/>
              </w:rPr>
              <w:t>E-mail</w:t>
            </w:r>
          </w:p>
        </w:tc>
        <w:tc>
          <w:tcPr>
            <w:tcW w:w="6269"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300" w:lineRule="exact"/>
              <w:jc w:val="left"/>
              <w:rPr>
                <w:color w:val="000000"/>
                <w:szCs w:val="21"/>
                <w:highlight w:val="none"/>
                <w:lang w:val="it-IT"/>
              </w:rPr>
            </w:pPr>
            <w:r>
              <w:rPr>
                <w:rFonts w:eastAsia="Times New Roman"/>
                <w:highlight w:val="none"/>
                <w:lang w:val="it-IT"/>
              </w:rPr>
              <w:t>hanzhuoxi9718@icbr.ac.cn (Han Zhuoxi)</w:t>
            </w:r>
            <w:r>
              <w:rPr>
                <w:rFonts w:hint="eastAsia"/>
                <w:highlight w:val="none"/>
                <w:lang w:val="en-US" w:eastAsia="zh-CN"/>
              </w:rPr>
              <w:t>, lpsun</w:t>
            </w:r>
            <w:r>
              <w:rPr>
                <w:rFonts w:eastAsia="Times New Roman"/>
                <w:highlight w:val="none"/>
                <w:lang w:val="it-IT"/>
              </w:rPr>
              <w:t>@icbr.ac.cn (</w:t>
            </w:r>
            <w:r>
              <w:rPr>
                <w:rFonts w:hint="eastAsia" w:eastAsiaTheme="minorEastAsia"/>
                <w:highlight w:val="none"/>
                <w:lang w:val="en-US" w:eastAsia="zh-CN"/>
              </w:rPr>
              <w:t>Sun Lianpeng</w:t>
            </w:r>
            <w:r>
              <w:rPr>
                <w:rFonts w:eastAsia="Times New Roman"/>
                <w:highlight w:val="none"/>
                <w:lang w:val="it-IT"/>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3486" w:hRule="atLeast"/>
          <w:jc w:val="center"/>
        </w:trPr>
        <w:tc>
          <w:tcPr>
            <w:tcW w:w="1616" w:type="dxa"/>
            <w:tcBorders>
              <w:left w:val="single" w:color="auto" w:sz="4" w:space="0"/>
              <w:bottom w:val="single" w:color="auto" w:sz="4" w:space="0"/>
              <w:right w:val="single" w:color="auto" w:sz="4" w:space="0"/>
            </w:tcBorders>
            <w:vAlign w:val="center"/>
          </w:tcPr>
          <w:p>
            <w:pPr>
              <w:snapToGrid w:val="0"/>
              <w:spacing w:line="420" w:lineRule="exact"/>
              <w:jc w:val="center"/>
              <w:rPr>
                <w:rFonts w:hint="eastAsia" w:eastAsia="宋体"/>
                <w:color w:val="000000"/>
                <w:highlight w:val="none"/>
                <w:lang w:val="en-US" w:eastAsia="zh-CN"/>
              </w:rPr>
            </w:pPr>
            <w:r>
              <w:rPr>
                <w:szCs w:val="21"/>
                <w:highlight w:val="none"/>
              </w:rPr>
              <w:t>About the Organize</w:t>
            </w:r>
            <w:r>
              <w:rPr>
                <w:rFonts w:hint="eastAsia"/>
                <w:szCs w:val="21"/>
                <w:highlight w:val="none"/>
                <w:lang w:val="en-US" w:eastAsia="zh-CN"/>
              </w:rPr>
              <w:t>r</w:t>
            </w:r>
          </w:p>
        </w:tc>
        <w:tc>
          <w:tcPr>
            <w:tcW w:w="8403" w:type="dxa"/>
            <w:gridSpan w:val="5"/>
            <w:tcBorders>
              <w:top w:val="single" w:color="auto" w:sz="4" w:space="0"/>
              <w:left w:val="single" w:color="auto" w:sz="4" w:space="0"/>
              <w:bottom w:val="single" w:color="auto" w:sz="4" w:space="0"/>
              <w:right w:val="single" w:color="auto" w:sz="4" w:space="0"/>
            </w:tcBorders>
            <w:vAlign w:val="center"/>
          </w:tcPr>
          <w:p>
            <w:pPr>
              <w:spacing w:line="276" w:lineRule="auto"/>
              <w:ind w:firstLine="420" w:firstLineChars="200"/>
              <w:rPr>
                <w:rFonts w:eastAsia="Times New Roman"/>
                <w:sz w:val="22"/>
                <w:highlight w:val="none"/>
              </w:rPr>
            </w:pPr>
            <w:r>
              <w:rPr>
                <w:rFonts w:eastAsia="Times New Roman"/>
                <w:highlight w:val="none"/>
              </w:rPr>
              <w:t xml:space="preserve">The International Center for Bamboo and Rattan </w:t>
            </w:r>
            <w:r>
              <w:rPr>
                <w:rFonts w:eastAsiaTheme="minorEastAsia"/>
                <w:highlight w:val="none"/>
              </w:rPr>
              <w:t xml:space="preserve">(ICBR) </w:t>
            </w:r>
            <w:r>
              <w:rPr>
                <w:rFonts w:eastAsia="Times New Roman"/>
                <w:highlight w:val="none"/>
              </w:rPr>
              <w:t>was established in 2000 after joint approval from the State Commission Office for Public Sector Reform, the Ministry of Finance, and the Ministry of Science and Technology. It is a ministerial</w:t>
            </w:r>
            <w:r>
              <w:rPr>
                <w:rFonts w:eastAsiaTheme="minorEastAsia"/>
                <w:highlight w:val="none"/>
              </w:rPr>
              <w:t>-</w:t>
            </w:r>
            <w:r>
              <w:rPr>
                <w:rFonts w:eastAsia="Times New Roman"/>
                <w:highlight w:val="none"/>
              </w:rPr>
              <w:t>level research institution directly under the National Forestry and Grassland Administration. Its mission is to build direct supports to and cooperate with the first China-based intergovernmental international organization - the International Bamboo and Rattan Organi</w:t>
            </w:r>
            <w:r>
              <w:rPr>
                <w:rFonts w:eastAsiaTheme="minorEastAsia"/>
                <w:highlight w:val="none"/>
              </w:rPr>
              <w:t>z</w:t>
            </w:r>
            <w:r>
              <w:rPr>
                <w:rFonts w:eastAsia="Times New Roman"/>
                <w:highlight w:val="none"/>
              </w:rPr>
              <w:t>ation (INBAR) -</w:t>
            </w:r>
            <w:r>
              <w:rPr>
                <w:rFonts w:eastAsiaTheme="minorEastAsia"/>
                <w:highlight w:val="none"/>
              </w:rPr>
              <w:t xml:space="preserve"> </w:t>
            </w:r>
            <w:r>
              <w:rPr>
                <w:rFonts w:eastAsia="Times New Roman"/>
                <w:highlight w:val="none"/>
              </w:rPr>
              <w:t>for better fulfilling INBAR</w:t>
            </w:r>
            <w:r>
              <w:rPr>
                <w:rFonts w:eastAsiaTheme="minorEastAsia"/>
                <w:highlight w:val="none"/>
              </w:rPr>
              <w:t>'s mission and purpose</w:t>
            </w:r>
            <w:r>
              <w:rPr>
                <w:rFonts w:eastAsia="Times New Roman"/>
                <w:highlight w:val="none"/>
              </w:rPr>
              <w:t xml:space="preserve">, as well as promoting the sustainable development of </w:t>
            </w:r>
            <w:r>
              <w:rPr>
                <w:rFonts w:eastAsiaTheme="minorEastAsia"/>
                <w:highlight w:val="none"/>
              </w:rPr>
              <w:t xml:space="preserve">the international </w:t>
            </w:r>
            <w:r>
              <w:rPr>
                <w:rFonts w:eastAsia="Times New Roman"/>
                <w:highlight w:val="none"/>
              </w:rPr>
              <w:t xml:space="preserve">bamboo and rattan industry. The main responsibilities and tasks of the </w:t>
            </w:r>
            <w:r>
              <w:rPr>
                <w:rFonts w:eastAsiaTheme="minorEastAsia"/>
                <w:highlight w:val="none"/>
              </w:rPr>
              <w:t>ICBR</w:t>
            </w:r>
            <w:r>
              <w:rPr>
                <w:rFonts w:eastAsia="Times New Roman"/>
                <w:highlight w:val="none"/>
              </w:rPr>
              <w:t xml:space="preserve"> are: to conduct scientific research and resource conservation, development, and utilization in the fields of bamboo, rattan, and related areas; to carry out international cooperation and exchanges in related fields targeting INBAR</w:t>
            </w:r>
            <w:r>
              <w:rPr>
                <w:rFonts w:eastAsiaTheme="minorEastAsia"/>
                <w:highlight w:val="none"/>
              </w:rPr>
              <w:t xml:space="preserve"> </w:t>
            </w:r>
            <w:r>
              <w:rPr>
                <w:rFonts w:eastAsia="Times New Roman"/>
                <w:highlight w:val="none"/>
              </w:rPr>
              <w:t xml:space="preserve">member countries; to engage in discipline and talent construction, and to cultivate senior professionals in related fields; to conduct technology research and development, science and technology services, and popularization </w:t>
            </w:r>
            <w:r>
              <w:rPr>
                <w:rFonts w:eastAsiaTheme="minorEastAsia"/>
                <w:highlight w:val="none"/>
              </w:rPr>
              <w:t xml:space="preserve">and </w:t>
            </w:r>
            <w:r>
              <w:rPr>
                <w:rFonts w:eastAsia="Times New Roman"/>
                <w:highlight w:val="none"/>
              </w:rPr>
              <w:t xml:space="preserve">application of research results </w:t>
            </w:r>
            <w:r>
              <w:rPr>
                <w:rFonts w:eastAsiaTheme="minorEastAsia"/>
                <w:highlight w:val="none"/>
              </w:rPr>
              <w:t xml:space="preserve">so as </w:t>
            </w:r>
            <w:r>
              <w:rPr>
                <w:rFonts w:eastAsia="Times New Roman"/>
                <w:highlight w:val="none"/>
              </w:rPr>
              <w:t>to promote the development of the bamboo and rattan industry; to undertake technical training related to international and domestic needs; and to provide logistical support services for INBAR</w:t>
            </w:r>
            <w:r>
              <w:rPr>
                <w:rFonts w:eastAsiaTheme="minorEastAsia"/>
                <w:highlight w:val="none"/>
              </w:rPr>
              <w:t xml:space="preserve"> </w:t>
            </w:r>
            <w:r>
              <w:rPr>
                <w:rFonts w:eastAsia="Times New Roman"/>
                <w:highlight w:val="none"/>
              </w:rPr>
              <w:t>headquarters.</w:t>
            </w:r>
          </w:p>
          <w:p>
            <w:pPr>
              <w:spacing w:line="276" w:lineRule="auto"/>
              <w:ind w:firstLine="420" w:firstLineChars="200"/>
              <w:rPr>
                <w:rFonts w:eastAsia="Times New Roman"/>
                <w:sz w:val="22"/>
                <w:highlight w:val="none"/>
              </w:rPr>
            </w:pPr>
            <w:r>
              <w:rPr>
                <w:rFonts w:eastAsia="Times New Roman"/>
                <w:highlight w:val="none"/>
              </w:rPr>
              <w:t xml:space="preserve">Since 2005, the </w:t>
            </w:r>
            <w:r>
              <w:rPr>
                <w:rFonts w:eastAsiaTheme="minorEastAsia"/>
                <w:highlight w:val="none"/>
              </w:rPr>
              <w:t>ICBR</w:t>
            </w:r>
            <w:r>
              <w:rPr>
                <w:rFonts w:eastAsia="Times New Roman"/>
                <w:highlight w:val="none"/>
              </w:rPr>
              <w:t xml:space="preserve"> has focused on serving the INBAR, </w:t>
            </w:r>
            <w:r>
              <w:rPr>
                <w:rFonts w:eastAsiaTheme="minorEastAsia"/>
                <w:highlight w:val="none"/>
              </w:rPr>
              <w:t xml:space="preserve">and </w:t>
            </w:r>
            <w:r>
              <w:rPr>
                <w:rFonts w:eastAsia="Times New Roman"/>
                <w:highlight w:val="none"/>
              </w:rPr>
              <w:t>deepening cooperation with international institutions such as the INBAR, the International Organization for Standardization, and the United Nations Convention to Combat Desertification. It has conducted 7</w:t>
            </w:r>
            <w:r>
              <w:rPr>
                <w:rFonts w:hint="eastAsia"/>
                <w:highlight w:val="none"/>
                <w:lang w:val="en-US" w:eastAsia="zh-CN"/>
              </w:rPr>
              <w:t>6</w:t>
            </w:r>
            <w:r>
              <w:rPr>
                <w:rFonts w:eastAsia="Times New Roman"/>
                <w:highlight w:val="none"/>
              </w:rPr>
              <w:t xml:space="preserve"> training sessions in fields such as bamboo and rattan, flowers, and desertification </w:t>
            </w:r>
            <w:r>
              <w:rPr>
                <w:rFonts w:eastAsiaTheme="minorEastAsia"/>
                <w:highlight w:val="none"/>
              </w:rPr>
              <w:t>control</w:t>
            </w:r>
            <w:r>
              <w:rPr>
                <w:rFonts w:eastAsia="Times New Roman"/>
                <w:highlight w:val="none"/>
              </w:rPr>
              <w:t xml:space="preserve"> (including 7 sessions overseas and 11 online sessions), covering 85 countries, with 2,475 senior government officials and technical personnel from developing countries participating in the training. Through training, it has shared, disseminated, and promoted China</w:t>
            </w:r>
            <w:r>
              <w:rPr>
                <w:rFonts w:eastAsiaTheme="minorEastAsia"/>
                <w:highlight w:val="none"/>
              </w:rPr>
              <w:t>'s</w:t>
            </w:r>
            <w:r>
              <w:rPr>
                <w:rFonts w:eastAsia="Times New Roman"/>
                <w:highlight w:val="none"/>
              </w:rPr>
              <w:t xml:space="preserve"> successful technologies and experiences in the utilization of bamboo and rattan, supported and cooperated with the INBAR in promoting the sustainable development of the international bamboo and rattan </w:t>
            </w:r>
            <w:r>
              <w:rPr>
                <w:rFonts w:eastAsiaTheme="minorEastAsia"/>
                <w:highlight w:val="none"/>
              </w:rPr>
              <w:t>industry</w:t>
            </w:r>
            <w:r>
              <w:rPr>
                <w:rFonts w:eastAsia="Times New Roman"/>
                <w:highlight w:val="none"/>
              </w:rPr>
              <w:t xml:space="preserve">, deepened cooperation and exchanges on bamboo and rattan with various countries, and played a positive role in effectively helping countries cultivate professional technical talents in bamboo and rattan and promote the green and sustainable development of the bamboo and rattan industry, receiving wide recognition from governments and the international community. The "2017 Overseas Training </w:t>
            </w:r>
            <w:r>
              <w:rPr>
                <w:rFonts w:eastAsiaTheme="minorEastAsia"/>
                <w:highlight w:val="none"/>
              </w:rPr>
              <w:t xml:space="preserve">on </w:t>
            </w:r>
            <w:r>
              <w:rPr>
                <w:rFonts w:eastAsia="Times New Roman"/>
                <w:highlight w:val="none"/>
              </w:rPr>
              <w:t>Bamboo Handicraft Processing Technology</w:t>
            </w:r>
            <w:r>
              <w:rPr>
                <w:rFonts w:eastAsiaTheme="minorEastAsia"/>
                <w:highlight w:val="none"/>
              </w:rPr>
              <w:t xml:space="preserve"> in</w:t>
            </w:r>
            <w:r>
              <w:rPr>
                <w:rFonts w:eastAsia="Times New Roman"/>
                <w:highlight w:val="none"/>
              </w:rPr>
              <w:t xml:space="preserve"> Ethiopia" is the first overseas aid training class funded by the Ministry of Commerce within the Chinese forestry system, which facilitated the establishment of the National Bamboo and Rattan Association in Ethiopia</w:t>
            </w:r>
            <w:r>
              <w:rPr>
                <w:rFonts w:eastAsiaTheme="minorEastAsia"/>
                <w:highlight w:val="none"/>
              </w:rPr>
              <w:t>.</w:t>
            </w:r>
            <w:r>
              <w:rPr>
                <w:rFonts w:eastAsia="Times New Roman"/>
                <w:highlight w:val="none"/>
              </w:rPr>
              <w:t xml:space="preserve"> In conjunction with the 10th, 15th, and 20th anniversaries of the INBAR, four ministerial-level seminars were held, attended by 23 ministerial-level officials, and then</w:t>
            </w:r>
            <w:r>
              <w:rPr>
                <w:rFonts w:eastAsiaTheme="minorEastAsia"/>
                <w:highlight w:val="none"/>
              </w:rPr>
              <w:t>-</w:t>
            </w:r>
            <w:r>
              <w:rPr>
                <w:rFonts w:eastAsia="Times New Roman"/>
                <w:highlight w:val="none"/>
              </w:rPr>
              <w:t>Vice Premier Li Keqiang personally met with the ministerial-level trainees of the seminar</w:t>
            </w:r>
            <w:r>
              <w:rPr>
                <w:rFonts w:eastAsiaTheme="minorEastAsia"/>
                <w:highlight w:val="none"/>
              </w:rPr>
              <w:t>.</w:t>
            </w:r>
            <w:r>
              <w:rPr>
                <w:rFonts w:eastAsia="Times New Roman"/>
                <w:highlight w:val="none"/>
              </w:rPr>
              <w:t xml:space="preserve"> The </w:t>
            </w:r>
            <w:r>
              <w:rPr>
                <w:rFonts w:eastAsiaTheme="minorEastAsia"/>
                <w:highlight w:val="none"/>
              </w:rPr>
              <w:t>ICBR</w:t>
            </w:r>
            <w:r>
              <w:rPr>
                <w:rFonts w:eastAsia="Times New Roman"/>
                <w:highlight w:val="none"/>
              </w:rPr>
              <w:t xml:space="preserve">, together with the Deputy Minister of Agriculture </w:t>
            </w:r>
            <w:r>
              <w:rPr>
                <w:rFonts w:eastAsiaTheme="minorEastAsia"/>
                <w:highlight w:val="none"/>
              </w:rPr>
              <w:t>of</w:t>
            </w:r>
            <w:r>
              <w:rPr>
                <w:rFonts w:eastAsia="Times New Roman"/>
                <w:highlight w:val="none"/>
              </w:rPr>
              <w:t xml:space="preserve"> Ethiopia who attended the ministerial-level seminar, initiated the establishment of the China-Africa Bamboo Center, which President Xi Jinping included </w:t>
            </w:r>
            <w:r>
              <w:rPr>
                <w:rFonts w:eastAsiaTheme="minorEastAsia"/>
                <w:highlight w:val="none"/>
              </w:rPr>
              <w:t>as</w:t>
            </w:r>
            <w:r>
              <w:rPr>
                <w:rFonts w:eastAsia="Times New Roman"/>
                <w:highlight w:val="none"/>
              </w:rPr>
              <w:t xml:space="preserve"> one of the "Eight Actions" at the 2018 Forum on China-Africa Cooperation. Senior leaders from the National People's Congress, the National Committee of the Chinese People's Political Consultative Conference, the Ministry of Commerce, the Ministry of Foreign Affairs, the National Development and Reform Commission, and the National Forestry and Grassland Administration have visited the seminar multiple times for guidance. Former UN Secretary-General Ban Ki-moon sent a congratulatory message specifically for the seminar, and the Minister of Environment and Sustainable Development of Senegal personally issued a letter of thanks, highly praising the Chinese government's positive significance and role in hosting training classes for developing countries.</w:t>
            </w:r>
          </w:p>
          <w:p>
            <w:pPr>
              <w:spacing w:line="276" w:lineRule="auto"/>
              <w:rPr>
                <w:rFonts w:eastAsia="Times New Roman"/>
                <w:sz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3655" w:hRule="exact"/>
          <w:jc w:val="center"/>
        </w:trPr>
        <w:tc>
          <w:tcPr>
            <w:tcW w:w="1616" w:type="dxa"/>
            <w:tcBorders>
              <w:left w:val="single" w:color="auto" w:sz="4" w:space="0"/>
              <w:right w:val="single" w:color="auto" w:sz="4" w:space="0"/>
            </w:tcBorders>
            <w:vAlign w:val="center"/>
          </w:tcPr>
          <w:p>
            <w:pPr>
              <w:snapToGrid w:val="0"/>
              <w:spacing w:line="420" w:lineRule="exact"/>
              <w:jc w:val="center"/>
              <w:rPr>
                <w:color w:val="000000"/>
                <w:sz w:val="16"/>
                <w:szCs w:val="20"/>
                <w:highlight w:val="none"/>
              </w:rPr>
            </w:pPr>
            <w:r>
              <w:rPr>
                <w:sz w:val="16"/>
                <w:szCs w:val="16"/>
                <w:highlight w:val="none"/>
              </w:rPr>
              <w:t xml:space="preserve">About the </w:t>
            </w:r>
            <w:r>
              <w:rPr>
                <w:rFonts w:eastAsia="Times New Roman"/>
                <w:color w:val="000000"/>
                <w:sz w:val="16"/>
                <w:szCs w:val="20"/>
                <w:highlight w:val="none"/>
              </w:rPr>
              <w:t>Project</w:t>
            </w:r>
          </w:p>
        </w:tc>
        <w:tc>
          <w:tcPr>
            <w:tcW w:w="8403" w:type="dxa"/>
            <w:gridSpan w:val="5"/>
            <w:tcBorders>
              <w:top w:val="single" w:color="auto" w:sz="4" w:space="0"/>
              <w:left w:val="single" w:color="auto" w:sz="4" w:space="0"/>
              <w:bottom w:val="single" w:color="auto" w:sz="4" w:space="0"/>
              <w:right w:val="single" w:color="auto" w:sz="4" w:space="0"/>
            </w:tcBorders>
            <w:vAlign w:val="center"/>
          </w:tcPr>
          <w:p>
            <w:pPr>
              <w:numPr>
                <w:ilvl w:val="0"/>
                <w:numId w:val="1"/>
              </w:numPr>
              <w:spacing w:line="276" w:lineRule="auto"/>
              <w:ind w:firstLine="420" w:firstLineChars="200"/>
              <w:rPr>
                <w:rFonts w:hint="eastAsia" w:eastAsia="Times New Roman"/>
                <w:highlight w:val="none"/>
              </w:rPr>
            </w:pPr>
            <w:r>
              <w:rPr>
                <w:rFonts w:hint="eastAsia" w:eastAsia="Times New Roman"/>
                <w:highlight w:val="none"/>
              </w:rPr>
              <w:t>Main training content</w:t>
            </w:r>
          </w:p>
          <w:p>
            <w:pPr>
              <w:numPr>
                <w:ilvl w:val="0"/>
                <w:numId w:val="0"/>
              </w:numPr>
              <w:spacing w:line="276" w:lineRule="auto"/>
              <w:ind w:firstLine="420" w:firstLineChars="200"/>
              <w:rPr>
                <w:rFonts w:hint="eastAsia" w:eastAsia="Times New Roman"/>
                <w:highlight w:val="none"/>
              </w:rPr>
            </w:pPr>
            <w:r>
              <w:rPr>
                <w:rFonts w:hint="eastAsia" w:eastAsia="Times New Roman"/>
                <w:highlight w:val="none"/>
              </w:rPr>
              <w:t>This project will feature classroom lectures, case studies, field visits, and seminar discussions, centering on the sustainable development and utilization of bamboo and rattan resources. The main training contents include: China's national conditions; China's bamboo resources; China's bamboo industry and policies; efficient cultivation, management and operation of bamboo forests; bamboo properties and technology development; "bamboo as a substitute for plastic" technologies and products; production, application and standards of major bamboo products; international trade of bamboo and rattan products; and case studies on bamboo industry development in major bamboo-producing regions.</w:t>
            </w:r>
          </w:p>
          <w:p>
            <w:pPr>
              <w:spacing w:line="276" w:lineRule="auto"/>
              <w:ind w:firstLine="420" w:firstLineChars="200"/>
              <w:rPr>
                <w:rFonts w:hint="eastAsia" w:eastAsia="Times New Roman"/>
                <w:highlight w:val="none"/>
              </w:rPr>
            </w:pPr>
            <w:r>
              <w:rPr>
                <w:rFonts w:hint="eastAsia"/>
                <w:highlight w:val="none"/>
                <w:lang w:val="en-US" w:eastAsia="zh-CN"/>
              </w:rPr>
              <w:t>2</w:t>
            </w:r>
            <w:r>
              <w:rPr>
                <w:rFonts w:hint="eastAsia" w:eastAsia="Times New Roman"/>
                <w:highlight w:val="none"/>
              </w:rPr>
              <w:t>. Study tour arrangements</w:t>
            </w:r>
          </w:p>
          <w:p>
            <w:pPr>
              <w:spacing w:line="276" w:lineRule="auto"/>
              <w:ind w:firstLine="420" w:firstLineChars="200"/>
              <w:rPr>
                <w:rFonts w:hint="eastAsia" w:ascii="Times New Roman" w:hAnsi="Times New Roman" w:eastAsia="Times New Roman" w:cs="Times New Roman"/>
                <w:sz w:val="22"/>
                <w:highlight w:val="none"/>
              </w:rPr>
            </w:pPr>
            <w:r>
              <w:rPr>
                <w:rFonts w:hint="eastAsia" w:eastAsia="Times New Roman"/>
                <w:highlight w:val="none"/>
              </w:rPr>
              <w:t>During the training period, participants will visit International Bamboo and Rattan Center Bamboo and Rattan Science Popularization Museum, Key Laboratory</w:t>
            </w:r>
            <w:r>
              <w:rPr>
                <w:rFonts w:hint="eastAsia"/>
                <w:highlight w:val="none"/>
                <w:lang w:val="en-US" w:eastAsia="zh-CN"/>
              </w:rPr>
              <w:t xml:space="preserve"> of the </w:t>
            </w:r>
            <w:r>
              <w:rPr>
                <w:rFonts w:hint="eastAsia" w:eastAsia="Times New Roman"/>
                <w:highlight w:val="none"/>
              </w:rPr>
              <w:t>Bamboo and Rattan</w:t>
            </w:r>
            <w:r>
              <w:rPr>
                <w:rFonts w:hint="eastAsia"/>
                <w:highlight w:val="none"/>
                <w:lang w:val="en-US" w:eastAsia="zh-CN"/>
              </w:rPr>
              <w:t xml:space="preserve">,and </w:t>
            </w:r>
            <w:r>
              <w:rPr>
                <w:rFonts w:hint="eastAsia" w:eastAsia="Times New Roman"/>
                <w:highlight w:val="none"/>
              </w:rPr>
              <w:t>areas where the bamboo</w:t>
            </w:r>
            <w:r>
              <w:rPr>
                <w:rFonts w:hint="eastAsia"/>
                <w:highlight w:val="none"/>
                <w:lang w:val="en-US" w:eastAsia="zh-CN"/>
              </w:rPr>
              <w:t xml:space="preserve"> </w:t>
            </w:r>
            <w:r>
              <w:rPr>
                <w:rFonts w:hint="eastAsia" w:eastAsia="Times New Roman"/>
                <w:highlight w:val="none"/>
              </w:rPr>
              <w:t xml:space="preserve">industry </w:t>
            </w:r>
            <w:r>
              <w:rPr>
                <w:rFonts w:hint="eastAsia"/>
                <w:highlight w:val="none"/>
                <w:lang w:val="en-US" w:eastAsia="zh-CN"/>
              </w:rPr>
              <w:t>and rattan industry are</w:t>
            </w:r>
            <w:r>
              <w:rPr>
                <w:rFonts w:hint="eastAsia" w:eastAsia="Times New Roman"/>
                <w:highlight w:val="none"/>
              </w:rPr>
              <w:t xml:space="preserve"> well developed to learn and exchange advanced experiences in local technological innovations under the background of "Bamboo as a Substitute for Plastic Initiative".</w:t>
            </w:r>
          </w:p>
          <w:p>
            <w:pPr>
              <w:numPr>
                <w:ilvl w:val="0"/>
                <w:numId w:val="1"/>
              </w:numPr>
              <w:spacing w:line="276" w:lineRule="auto"/>
              <w:ind w:left="0" w:leftChars="0" w:firstLine="420" w:firstLineChars="200"/>
              <w:rPr>
                <w:rFonts w:hint="eastAsia" w:eastAsia="Times New Roman"/>
                <w:highlight w:val="none"/>
              </w:rPr>
            </w:pPr>
            <w:r>
              <w:rPr>
                <w:rFonts w:hint="eastAsia" w:eastAsia="Times New Roman"/>
                <w:highlight w:val="none"/>
              </w:rPr>
              <w:t>About the lecturers</w:t>
            </w:r>
          </w:p>
          <w:p>
            <w:pPr>
              <w:numPr>
                <w:ilvl w:val="0"/>
                <w:numId w:val="0"/>
              </w:numPr>
              <w:spacing w:line="276" w:lineRule="auto"/>
              <w:ind w:leftChars="200"/>
              <w:rPr>
                <w:rFonts w:hint="eastAsia" w:eastAsia="Times New Roman"/>
                <w:highlight w:val="none"/>
              </w:rPr>
            </w:pPr>
            <w:r>
              <w:rPr>
                <w:rFonts w:hint="eastAsia" w:eastAsia="Times New Roman"/>
                <w:highlight w:val="none"/>
              </w:rPr>
              <w:t xml:space="preserve">(1) </w:t>
            </w:r>
            <w:r>
              <w:rPr>
                <w:rFonts w:hint="eastAsia"/>
                <w:highlight w:val="none"/>
                <w:lang w:val="en-US" w:eastAsia="zh-CN"/>
              </w:rPr>
              <w:t>Qin Daochun: Director</w:t>
            </w:r>
            <w:r>
              <w:rPr>
                <w:rFonts w:hint="eastAsia" w:eastAsia="Times New Roman"/>
                <w:highlight w:val="none"/>
              </w:rPr>
              <w:t xml:space="preserve"> </w:t>
            </w:r>
            <w:r>
              <w:rPr>
                <w:rFonts w:hint="eastAsia"/>
                <w:highlight w:val="none"/>
                <w:lang w:val="en-US" w:eastAsia="zh-CN"/>
              </w:rPr>
              <w:t>General</w:t>
            </w:r>
            <w:r>
              <w:rPr>
                <w:rFonts w:hint="eastAsia" w:eastAsia="Times New Roman"/>
                <w:highlight w:val="none"/>
              </w:rPr>
              <w:t xml:space="preserve"> of the International Center for Bamboo and Rattan;</w:t>
            </w:r>
          </w:p>
          <w:p>
            <w:pPr>
              <w:spacing w:line="276" w:lineRule="auto"/>
              <w:ind w:firstLine="420" w:firstLineChars="200"/>
              <w:rPr>
                <w:rFonts w:hint="default"/>
                <w:highlight w:val="none"/>
                <w:lang w:val="en-US" w:eastAsia="zh-CN"/>
              </w:rPr>
            </w:pPr>
            <w:r>
              <w:rPr>
                <w:rFonts w:hint="eastAsia"/>
                <w:highlight w:val="none"/>
                <w:lang w:val="en-US" w:eastAsia="zh-CN"/>
              </w:rPr>
              <w:t>(2)Li Lan: DDG of INBAR;</w:t>
            </w:r>
          </w:p>
          <w:p>
            <w:pPr>
              <w:spacing w:line="276" w:lineRule="auto"/>
              <w:ind w:firstLine="420" w:firstLineChars="200"/>
              <w:rPr>
                <w:rFonts w:hint="default" w:eastAsia="宋体"/>
                <w:highlight w:val="none"/>
                <w:lang w:val="en-US" w:eastAsia="zh-CN"/>
              </w:rPr>
            </w:pPr>
            <w:r>
              <w:rPr>
                <w:rFonts w:hint="eastAsia" w:eastAsia="Times New Roman"/>
                <w:highlight w:val="none"/>
              </w:rPr>
              <w:t xml:space="preserve">4. </w:t>
            </w:r>
            <w:r>
              <w:rPr>
                <w:rFonts w:hint="eastAsia"/>
                <w:highlight w:val="none"/>
                <w:lang w:val="en-US" w:eastAsia="zh-CN"/>
              </w:rPr>
              <w:t>others</w:t>
            </w:r>
          </w:p>
          <w:p>
            <w:pPr>
              <w:spacing w:line="276" w:lineRule="auto"/>
              <w:ind w:firstLine="420" w:firstLineChars="200"/>
              <w:rPr>
                <w:rFonts w:hint="eastAsia"/>
                <w:highlight w:val="none"/>
                <w:lang w:val="en-US" w:eastAsia="zh-CN"/>
              </w:rPr>
            </w:pPr>
            <w:r>
              <w:rPr>
                <w:rFonts w:hint="eastAsia"/>
                <w:highlight w:val="none"/>
                <w:lang w:val="en-US" w:eastAsia="zh-CN"/>
              </w:rPr>
              <w:t>The seminar will include national reports, thematic discussions and other activities, where participants from various countries will share their experiences and insights on topics such as "bamboo as a substitute for plastic" and bamboo industry development in their respective countries. We will also arrange for participants to engage in discussions with the International Bamboo and Rattan Organization (INBAR), the International Centre for Bamboo and Rattan (ICBR), and enterprises from the National Innovation Alliance of Bamboo and Rattan Industry in China, exploring possibilities for multilateral and bilateral cooperation. Participants are expected to acquire in advance a general understanding of their own country's profile, technological innovation in the bamboo and rattan sector, the current status and challenges of cooperation with China, and to reflect on the potential for expanding cooperation.</w:t>
            </w:r>
          </w:p>
          <w:p>
            <w:pPr>
              <w:spacing w:line="276" w:lineRule="auto"/>
              <w:ind w:firstLine="420" w:firstLineChars="200"/>
              <w:rPr>
                <w:rFonts w:hint="eastAsia"/>
                <w:highlight w:val="none"/>
                <w:lang w:val="en-US" w:eastAsia="zh-CN"/>
              </w:rPr>
            </w:pPr>
            <w:r>
              <w:rPr>
                <w:rFonts w:hint="eastAsia"/>
                <w:highlight w:val="none"/>
                <w:lang w:val="en-US" w:eastAsia="zh-CN"/>
              </w:rPr>
              <w:t>Through this training program, we will specifically explore and deliberate on the sustainable development and utilization of bamboo and rattan resources, the development of a green bamboo and rattan industry, and the goals of poverty eradication and socio-economic advancement. The program will organize study tours and field visits to examine relevant policies and experiences in China's bamboo-producing regions, and share with more Belt and Road partner countries China's mature technologies and innovative models in bamboo and rattan resource cultivation, processing and utilization, as well as in the field of "bamboo as a substitute for plastic." The training will enable participants to gain an understanding of policy support, current development status, product development, and scientific and technological approaches to sustainable bamboo resource development in both China and the wider world. Participants will learn about relevant innovative technologies and development experiences, clarify the economic, social and environmental benefits of "bamboo as a substitute for plastic" products and bamboo and rattan resources, and enhance the awareness and recognition among policymakers in developing countries of the contribution of the bamboo industry to ecological conservation and green development. The program aims to provide a platform for cooperation and exchange on "bamboo as a substitute for plastic" for developing countries, promote the scientific and large-scale development of bamboo and rattan industries in the participants' respective regions, build consensus on making bamboo a solution to plastic pollution, and facilitate the deep integration of "bamboo as a substitute for plastic" into the global green development process.</w:t>
            </w:r>
          </w:p>
          <w:p>
            <w:pPr>
              <w:spacing w:line="276" w:lineRule="auto"/>
              <w:ind w:firstLine="420" w:firstLineChars="200"/>
              <w:rPr>
                <w:rFonts w:hint="eastAsia"/>
                <w:highlight w:val="none"/>
                <w:lang w:val="en-US" w:eastAsia="zh-CN"/>
              </w:rPr>
            </w:pPr>
          </w:p>
          <w:p>
            <w:pPr>
              <w:spacing w:line="276" w:lineRule="auto"/>
              <w:ind w:firstLine="420" w:firstLineChars="200"/>
              <w:rPr>
                <w:color w:val="0000FF"/>
                <w:sz w:val="16"/>
                <w:szCs w:val="20"/>
                <w:highlight w:val="none"/>
              </w:rPr>
            </w:pPr>
            <w:r>
              <w:rPr>
                <w:rFonts w:hint="eastAsia"/>
                <w:highlight w:val="none"/>
                <w:lang w:val="en-US" w:eastAsia="zh-CN"/>
              </w:rPr>
              <w:t>[The cities for visits and field studies may be adjusted according to actual circumstances.]</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3407" w:hRule="exact"/>
          <w:jc w:val="center"/>
        </w:trPr>
        <w:tc>
          <w:tcPr>
            <w:tcW w:w="1616" w:type="dxa"/>
            <w:tcBorders>
              <w:left w:val="single" w:color="auto" w:sz="4" w:space="0"/>
              <w:bottom w:val="single" w:color="auto" w:sz="4" w:space="0"/>
              <w:right w:val="single" w:color="auto" w:sz="4" w:space="0"/>
            </w:tcBorders>
            <w:vAlign w:val="center"/>
          </w:tcPr>
          <w:p>
            <w:pPr>
              <w:snapToGrid w:val="0"/>
              <w:spacing w:line="420" w:lineRule="exact"/>
              <w:jc w:val="center"/>
              <w:rPr>
                <w:sz w:val="16"/>
                <w:szCs w:val="16"/>
                <w:highlight w:val="none"/>
              </w:rPr>
            </w:pPr>
            <w:r>
              <w:rPr>
                <w:sz w:val="16"/>
                <w:szCs w:val="16"/>
                <w:highlight w:val="none"/>
              </w:rPr>
              <w:t xml:space="preserve">About the </w:t>
            </w:r>
            <w:r>
              <w:rPr>
                <w:rFonts w:eastAsia="Times New Roman"/>
                <w:color w:val="000000"/>
                <w:sz w:val="16"/>
                <w:szCs w:val="20"/>
                <w:highlight w:val="none"/>
              </w:rPr>
              <w:t>Project</w:t>
            </w:r>
          </w:p>
        </w:tc>
        <w:tc>
          <w:tcPr>
            <w:tcW w:w="8403" w:type="dxa"/>
            <w:gridSpan w:val="5"/>
            <w:tcBorders>
              <w:top w:val="single" w:color="auto" w:sz="4" w:space="0"/>
              <w:left w:val="single" w:color="auto" w:sz="4" w:space="0"/>
              <w:bottom w:val="single" w:color="auto" w:sz="4" w:space="0"/>
              <w:right w:val="single" w:color="auto" w:sz="4" w:space="0"/>
            </w:tcBorders>
            <w:vAlign w:val="top"/>
          </w:tcPr>
          <w:p>
            <w:pPr>
              <w:spacing w:line="276" w:lineRule="auto"/>
              <w:ind w:firstLine="420" w:firstLineChars="200"/>
              <w:rPr>
                <w:rFonts w:hint="eastAsia" w:eastAsia="Times New Roman"/>
                <w:highlight w:val="none"/>
                <w:lang w:val="en-US" w:eastAsia="zh-CN"/>
              </w:rPr>
            </w:pPr>
            <w:r>
              <w:rPr>
                <w:rFonts w:hint="eastAsia" w:eastAsia="Times New Roman"/>
                <w:highlight w:val="none"/>
              </w:rPr>
              <w:t>Through the training, participants will engage in discussions and research specifically focused on the sustainable development and utilization of bamboo and rattan resources, building a green bamboo and rattan industry, and achieving the goals of poverty eradication and promoting economic and social development.</w:t>
            </w:r>
            <w:r>
              <w:rPr>
                <w:rFonts w:hint="default" w:eastAsia="Times New Roman"/>
                <w:highlight w:val="none"/>
              </w:rPr>
              <w:t> The program will organize study tours to examine relevant policies and experiences from China's bamboo-producing regions, and share with more Belt and Road countries China's mature technologies and innovative models in bamboo and rattan resource cultivation, processing and utilization, as well as in the field of "bamboo as a substitute for plastic"(BASP). Participants will gain an understanding of the policy support, current development status, product development, and scientific technologies for sustainable bamboo resource development related to BASP in both China and the world. They will learn related innovative technologies and development experiences, clarify the comprehensive economic, social, and environmental benefits of BASP products and bamboo and rattan resources, and enhance the awareness and attention of</w:t>
            </w:r>
            <w:r>
              <w:rPr>
                <w:rFonts w:hint="eastAsia" w:eastAsia="Times New Roman"/>
                <w:highlight w:val="none"/>
                <w:lang w:val="en-US" w:eastAsia="zh-CN"/>
              </w:rPr>
              <w:t>.decision-makers in various countries regarding the contribution of the bamboo industry to ecological construction and green development. The training will provide a platform for cooperation and exchange on BASP for developing countries, promote the scientific and large-scale development of the bamboo and rattan industry in the participants' respective regions, build consensus on using bamboo as a solution to plastic pollution, and facilitate the deep integration of BASP into the global green development process.</w:t>
            </w:r>
          </w:p>
          <w:p>
            <w:pPr>
              <w:spacing w:line="276" w:lineRule="auto"/>
              <w:ind w:firstLine="360" w:firstLineChars="200"/>
              <w:rPr>
                <w:rFonts w:eastAsia="Times New Roman"/>
                <w:color w:val="0000FF"/>
                <w:sz w:val="18"/>
                <w:szCs w:val="20"/>
                <w:highlight w:val="none"/>
              </w:rPr>
            </w:pPr>
          </w:p>
          <w:p>
            <w:pPr>
              <w:spacing w:line="276" w:lineRule="auto"/>
              <w:ind w:firstLine="360" w:firstLineChars="200"/>
              <w:rPr>
                <w:rFonts w:eastAsia="Times New Roman"/>
                <w:color w:val="0000FF"/>
                <w:sz w:val="18"/>
                <w:szCs w:val="20"/>
                <w:highlight w:val="none"/>
              </w:rPr>
            </w:pPr>
          </w:p>
          <w:p>
            <w:pPr>
              <w:spacing w:line="276" w:lineRule="auto"/>
              <w:ind w:firstLine="320" w:firstLineChars="200"/>
              <w:rPr>
                <w:rFonts w:hint="eastAsia" w:eastAsia="宋体"/>
                <w:color w:val="0000FF"/>
                <w:sz w:val="16"/>
                <w:szCs w:val="20"/>
                <w:highlight w:val="none"/>
                <w:lang w:val="en-US" w:eastAsia="zh-CN"/>
              </w:rPr>
            </w:pPr>
          </w:p>
        </w:tc>
      </w:tr>
    </w:tbl>
    <w:p>
      <w:pPr>
        <w:rPr>
          <w:rFonts w:eastAsia="黑体"/>
          <w:b/>
          <w:color w:val="000000"/>
          <w:szCs w:val="21"/>
        </w:rPr>
      </w:pPr>
    </w:p>
    <w:p/>
    <w:sectPr>
      <w:headerReference r:id="rId5" w:type="first"/>
      <w:footerReference r:id="rId8" w:type="first"/>
      <w:headerReference r:id="rId3" w:type="default"/>
      <w:footerReference r:id="rId6" w:type="default"/>
      <w:headerReference r:id="rId4" w:type="even"/>
      <w:footerReference r:id="rId7" w:type="even"/>
      <w:pgSz w:w="11906" w:h="16838"/>
      <w:pgMar w:top="1134" w:right="1474" w:bottom="1418"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BAF5E5"/>
    <w:multiLevelType w:val="singleLevel"/>
    <w:tmpl w:val="63BAF5E5"/>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352441"/>
    <w:rsid w:val="03AC38D7"/>
    <w:rsid w:val="03CE7CF1"/>
    <w:rsid w:val="042F62B6"/>
    <w:rsid w:val="04352441"/>
    <w:rsid w:val="04E84DE3"/>
    <w:rsid w:val="070C28DE"/>
    <w:rsid w:val="0935611C"/>
    <w:rsid w:val="0A082592"/>
    <w:rsid w:val="0A9450C5"/>
    <w:rsid w:val="0B290D25"/>
    <w:rsid w:val="0E3E5A73"/>
    <w:rsid w:val="11B92C2E"/>
    <w:rsid w:val="12B97DBE"/>
    <w:rsid w:val="12DE15D3"/>
    <w:rsid w:val="140212F1"/>
    <w:rsid w:val="18296689"/>
    <w:rsid w:val="18422604"/>
    <w:rsid w:val="18934C0E"/>
    <w:rsid w:val="1903302F"/>
    <w:rsid w:val="19502AFF"/>
    <w:rsid w:val="1BCA6B98"/>
    <w:rsid w:val="1CBD04AB"/>
    <w:rsid w:val="1DAA0069"/>
    <w:rsid w:val="1FDB3DE8"/>
    <w:rsid w:val="20580C17"/>
    <w:rsid w:val="21C978F2"/>
    <w:rsid w:val="26C64400"/>
    <w:rsid w:val="28773C04"/>
    <w:rsid w:val="2E960B5C"/>
    <w:rsid w:val="342310E4"/>
    <w:rsid w:val="375872F6"/>
    <w:rsid w:val="39191824"/>
    <w:rsid w:val="3B563B4D"/>
    <w:rsid w:val="3D6009FC"/>
    <w:rsid w:val="3DBD644B"/>
    <w:rsid w:val="41A459C1"/>
    <w:rsid w:val="41B61CB7"/>
    <w:rsid w:val="43A538C3"/>
    <w:rsid w:val="44CB5AE8"/>
    <w:rsid w:val="45925BC3"/>
    <w:rsid w:val="47391249"/>
    <w:rsid w:val="4D875DE8"/>
    <w:rsid w:val="4EF12E3B"/>
    <w:rsid w:val="52642B9B"/>
    <w:rsid w:val="555B0286"/>
    <w:rsid w:val="592503CD"/>
    <w:rsid w:val="5DF32EFF"/>
    <w:rsid w:val="60196D73"/>
    <w:rsid w:val="61F25ACE"/>
    <w:rsid w:val="632C3261"/>
    <w:rsid w:val="6A5247FE"/>
    <w:rsid w:val="6AE36AAF"/>
    <w:rsid w:val="6EB760D5"/>
    <w:rsid w:val="705160B5"/>
    <w:rsid w:val="70E707C8"/>
    <w:rsid w:val="729F4D57"/>
    <w:rsid w:val="72CE1C3F"/>
    <w:rsid w:val="75DA08FB"/>
    <w:rsid w:val="76CF5F86"/>
    <w:rsid w:val="794E6759"/>
    <w:rsid w:val="796E1A86"/>
    <w:rsid w:val="7A4618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customXml" Target="../customXml/item2.xml"/><Relationship Id="rId3" Type="http://schemas.openxmlformats.org/officeDocument/2006/relationships/header" Target="header1.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6" Type="http://schemas.openxmlformats.org/officeDocument/2006/relationships/footer" Target="footer1.xml"/><Relationship Id="rId11" Type="http://schemas.openxmlformats.org/officeDocument/2006/relationships/numbering" Target="numbering.xml"/><Relationship Id="rId1" Type="http://schemas.openxmlformats.org/officeDocument/2006/relationships/styles" Target="styles.xml"/><Relationship Id="rId5" Type="http://schemas.openxmlformats.org/officeDocument/2006/relationships/header" Target="header3.xml"/><Relationship Id="rId15" Type="http://schemas.openxmlformats.org/officeDocument/2006/relationships/customXml" Target="../customXml/item4.xml"/><Relationship Id="rId10" Type="http://schemas.openxmlformats.org/officeDocument/2006/relationships/customXml" Target="../customXml/item1.xml"/><Relationship Id="rId9" Type="http://schemas.openxmlformats.org/officeDocument/2006/relationships/theme" Target="theme/theme1.xml"/><Relationship Id="rId4"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A815A4E3F40D3849A83AB053AC3A69FE" ma:contentTypeVersion="10" ma:contentTypeDescription="Create a new document." ma:contentTypeScope="" ma:versionID="08f14d92069c152db6d13efebb47cdf1">
  <xsd:schema xmlns:xsd="http://www.w3.org/2001/XMLSchema" xmlns:xs="http://www.w3.org/2001/XMLSchema" xmlns:p="http://schemas.microsoft.com/office/2006/metadata/properties" xmlns:ns2="6ec941c6-1389-45b0-b27a-f2c68868a6fd" xmlns:ns3="7e029278-9d47-48ef-bcf1-d29063dd5cd5" targetNamespace="http://schemas.microsoft.com/office/2006/metadata/properties" ma:root="true" ma:fieldsID="7ddb1e3191b2a580a52b57bf2ef95dc5" ns2:_="" ns3:_="">
    <xsd:import namespace="6ec941c6-1389-45b0-b27a-f2c68868a6fd"/>
    <xsd:import namespace="7e029278-9d47-48ef-bcf1-d29063dd5c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941c6-1389-45b0-b27a-f2c68868a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734345-156e-4042-bdac-36dbe0d4db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029278-9d47-48ef-bcf1-d29063dd5c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8b4f98-28cd-4f10-909e-92d507247910}" ma:internalName="TaxCatchAll" ma:showField="CatchAllData" ma:web="7e029278-9d47-48ef-bcf1-d29063dd5c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029278-9d47-48ef-bcf1-d29063dd5cd5" xsi:nil="true"/>
    <lcf76f155ced4ddcb4097134ff3c332f xmlns="6ec941c6-1389-45b0-b27a-f2c68868a6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C5676E-EC0F-4EF6-8F6C-F31C7D47EBF0}"/>
</file>

<file path=customXml/itemProps3.xml><?xml version="1.0" encoding="utf-8"?>
<ds:datastoreItem xmlns:ds="http://schemas.openxmlformats.org/officeDocument/2006/customXml" ds:itemID="{7350661B-4A5A-4C1B-BD49-81FA0AF9BF96}"/>
</file>

<file path=customXml/itemProps4.xml><?xml version="1.0" encoding="utf-8"?>
<ds:datastoreItem xmlns:ds="http://schemas.openxmlformats.org/officeDocument/2006/customXml" ds:itemID="{63842E34-ABE9-4A4F-826A-A613A70B17B4}"/>
</file>

<file path=docProps/app.xml><?xml version="1.0" encoding="utf-8"?>
<Properties xmlns="http://schemas.openxmlformats.org/officeDocument/2006/extended-properties" xmlns:vt="http://schemas.openxmlformats.org/officeDocument/2006/docPropsVTypes">
  <Template>Normal.dotm</Template>
  <Pages>9</Pages>
  <Words>4493</Words>
  <Characters>14497</Characters>
  <Lines>0</Lines>
  <Paragraphs>0</Paragraphs>
  <TotalTime>29</TotalTime>
  <ScaleCrop>false</ScaleCrop>
  <LinksUpToDate>false</LinksUpToDate>
  <CharactersWithSpaces>16366</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ShiYongRen</cp:lastModifiedBy>
  <cp:revision>1</cp:revision>
  <dcterms:created xsi:type="dcterms:W3CDTF">2025-03-11T03:10:00Z</dcterms:created>
  <dcterms:modified xsi:type="dcterms:W3CDTF">2026-07-30T20:39:21Z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74DAB768E1D84866A8084A95A8E87908_13</vt:lpwstr>
  </property>
  <property fmtid="{D5CDD505-2E9C-101B-9397-08002B2CF9AE}" pid="4" name="KSOTemplateDocerSaveRecord">
    <vt:lpwstr>eyJoZGlkIjoiYWQ0YjhjZjRjODE1MWIyNDkxNTRjOTBhMWQyMDdiZjQiLCJ1c2VySWQiOiI3MTMzNDI4NTkifQ==</vt:lpwstr>
  </property>
  <property fmtid="{D5CDD505-2E9C-101B-9397-08002B2CF9AE}" pid="5" name="ContentTypeId">
    <vt:lpwstr>0x010100A815A4E3F40D3849A83AB053AC3A69FE</vt:lpwstr>
  </property>
</Properties>
</file>