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56" w:afterLines="50" w:line="500" w:lineRule="exact"/>
        <w:jc w:val="center"/>
        <w:rPr>
          <w:rFonts w:hint="default" w:ascii="Times New Roman" w:hAnsi="Times New Roman" w:cs="Times New Roman"/>
          <w:b/>
        </w:rPr>
      </w:pPr>
      <w:bookmarkStart w:id="53" w:name="_GoBack"/>
      <w:r>
        <w:rPr>
          <w:rFonts w:hint="default" w:ascii="Times New Roman" w:hAnsi="Times New Roman" w:eastAsia="宋体" w:cs="Times New Roman"/>
          <w:b/>
          <w:sz w:val="30"/>
        </w:rPr>
        <w:t>Seminar on Seawater Desalination and Comprehensive Utilization for Maritime Silk Road Countries</w:t>
      </w:r>
      <w:bookmarkStart w:id="0" w:name="projectPnameEnTitle"/>
    </w:p>
    <w:bookmarkEnd w:id="53"/>
    <w:tbl>
      <w:tblPr>
        <w:tblStyle w:val="5"/>
        <w:tblW w:w="9942"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485"/>
        <w:gridCol w:w="1275"/>
        <w:gridCol w:w="1152"/>
        <w:gridCol w:w="1374"/>
        <w:gridCol w:w="720"/>
        <w:gridCol w:w="1857"/>
        <w:gridCol w:w="207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29" w:hRule="atLeast"/>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1" w:name="unitNameEnTitle"/>
            <w:r>
              <w:rPr>
                <w:rFonts w:ascii="Times New Roman" w:hAnsi="Times New Roman" w:eastAsia="Times New Roman" w:cs="Times New Roman"/>
                <w:sz w:val="22"/>
              </w:rPr>
              <w:t>Program name</w:t>
            </w:r>
            <w:bookmarkEnd w:id="0"/>
            <w:bookmarkEnd w:id="1"/>
          </w:p>
        </w:tc>
        <w:tc>
          <w:tcPr>
            <w:tcW w:w="8457" w:type="dxa"/>
            <w:gridSpan w:val="6"/>
            <w:tcBorders>
              <w:top w:val="single" w:color="auto" w:sz="4" w:space="0"/>
              <w:left w:val="single" w:color="auto" w:sz="4" w:space="0"/>
              <w:bottom w:val="single" w:color="auto" w:sz="4" w:space="0"/>
              <w:right w:val="single" w:color="auto" w:sz="4" w:space="0"/>
            </w:tcBorders>
            <w:vAlign w:val="center"/>
          </w:tcPr>
          <w:p>
            <w:pPr>
              <w:tabs>
                <w:tab w:val="left" w:pos="2114"/>
              </w:tabs>
              <w:snapToGrid w:val="0"/>
              <w:spacing w:line="240" w:lineRule="exact"/>
              <w:jc w:val="center"/>
              <w:rPr>
                <w:color w:val="000000"/>
              </w:rPr>
            </w:pPr>
            <w:bookmarkStart w:id="2" w:name="projectPnameEn"/>
            <w:r>
              <w:rPr>
                <w:rFonts w:ascii="Times New Roman" w:hAnsi="Times New Roman" w:eastAsia="Times New Roman" w:cs="Times New Roman"/>
                <w:sz w:val="22"/>
              </w:rPr>
              <w:t>Seminar on Seawater Desalination and Comprehensive Utilization for Maritime Silk Road Countries</w:t>
            </w:r>
            <w:bookmarkEnd w:id="2"/>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97" w:hRule="exact"/>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3" w:name="undertakeNameEnTitle"/>
            <w:r>
              <w:rPr>
                <w:rFonts w:ascii="Times New Roman" w:hAnsi="Times New Roman" w:eastAsia="Times New Roman" w:cs="Times New Roman"/>
                <w:sz w:val="22"/>
              </w:rPr>
              <w:t>Organized by</w:t>
            </w:r>
            <w:bookmarkEnd w:id="3"/>
          </w:p>
        </w:tc>
        <w:tc>
          <w:tcPr>
            <w:tcW w:w="8457" w:type="dxa"/>
            <w:gridSpan w:val="6"/>
            <w:tcBorders>
              <w:top w:val="single" w:color="auto" w:sz="4" w:space="0"/>
              <w:left w:val="single" w:color="auto" w:sz="4" w:space="0"/>
              <w:bottom w:val="single" w:color="auto" w:sz="4" w:space="0"/>
              <w:right w:val="single" w:color="auto" w:sz="4" w:space="0"/>
            </w:tcBorders>
            <w:vAlign w:val="center"/>
          </w:tcPr>
          <w:p>
            <w:pPr>
              <w:tabs>
                <w:tab w:val="left" w:pos="1293"/>
              </w:tabs>
              <w:snapToGrid w:val="0"/>
              <w:spacing w:line="240" w:lineRule="exact"/>
              <w:jc w:val="center"/>
              <w:rPr>
                <w:color w:val="000000"/>
              </w:rPr>
            </w:pPr>
            <w:bookmarkStart w:id="4" w:name="undertakeNameEn"/>
            <w:r>
              <w:rPr>
                <w:rFonts w:ascii="Times New Roman" w:hAnsi="Times New Roman" w:eastAsia="Times New Roman" w:cs="Times New Roman"/>
                <w:sz w:val="22"/>
              </w:rPr>
              <w:t>SUZHOU UNIVERSITY OF SCIENCE AND TECHNOLOGY</w:t>
            </w:r>
            <w:bookmarkEnd w:id="4"/>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97" w:hRule="exact"/>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5" w:name="projectDateTitle"/>
            <w:r>
              <w:rPr>
                <w:rFonts w:ascii="Times New Roman" w:hAnsi="Times New Roman" w:eastAsia="Times New Roman" w:cs="Times New Roman"/>
                <w:sz w:val="22"/>
              </w:rPr>
              <w:t>Time</w:t>
            </w:r>
            <w:bookmarkEnd w:id="5"/>
          </w:p>
        </w:tc>
        <w:tc>
          <w:tcPr>
            <w:tcW w:w="3801" w:type="dxa"/>
            <w:gridSpan w:val="3"/>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6" w:name="projectStartDateEn"/>
            <w:r>
              <w:rPr>
                <w:rFonts w:ascii="Times New Roman" w:hAnsi="Times New Roman" w:eastAsia="Times New Roman" w:cs="Times New Roman"/>
                <w:sz w:val="22"/>
              </w:rPr>
              <w:t>2026-10-29</w:t>
            </w:r>
            <w:bookmarkEnd w:id="6"/>
            <w:r>
              <w:rPr>
                <w:rFonts w:hint="eastAsia"/>
                <w:color w:val="000000"/>
                <w:szCs w:val="21"/>
              </w:rPr>
              <w:t xml:space="preserve"> -- </w:t>
            </w:r>
            <w:bookmarkStart w:id="7" w:name="projectEndDateEn"/>
            <w:r>
              <w:rPr>
                <w:rFonts w:ascii="Times New Roman" w:hAnsi="Times New Roman" w:eastAsia="Times New Roman" w:cs="Times New Roman"/>
                <w:sz w:val="22"/>
              </w:rPr>
              <w:t>2026-11-11</w:t>
            </w:r>
            <w:bookmarkEnd w:id="7"/>
          </w:p>
        </w:tc>
        <w:tc>
          <w:tcPr>
            <w:tcW w:w="2577"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rPr>
            </w:pPr>
            <w:bookmarkStart w:id="8" w:name="projectLanguageEnTitle"/>
            <w:r>
              <w:rPr>
                <w:rFonts w:ascii="Times New Roman" w:hAnsi="Times New Roman" w:eastAsia="Times New Roman" w:cs="Times New Roman"/>
                <w:sz w:val="22"/>
              </w:rPr>
              <w:t>Language used</w:t>
            </w:r>
            <w:bookmarkEnd w:id="8"/>
          </w:p>
        </w:tc>
        <w:tc>
          <w:tcPr>
            <w:tcW w:w="2079"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rPr>
            </w:pPr>
            <w:bookmarkStart w:id="9" w:name="projectLanguageEn"/>
            <w:r>
              <w:rPr>
                <w:rFonts w:ascii="Times New Roman" w:hAnsi="Times New Roman" w:eastAsia="Times New Roman" w:cs="Times New Roman"/>
                <w:sz w:val="22"/>
              </w:rPr>
              <w:t>English</w:t>
            </w:r>
            <w:bookmarkEnd w:id="9"/>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80" w:hRule="atLeast"/>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10" w:name="projectInvitedEnTitle"/>
            <w:r>
              <w:rPr>
                <w:rFonts w:ascii="Times New Roman" w:hAnsi="Times New Roman" w:eastAsia="Times New Roman" w:cs="Times New Roman"/>
                <w:sz w:val="22"/>
              </w:rPr>
              <w:t>Countries invited</w:t>
            </w:r>
            <w:bookmarkEnd w:id="10"/>
          </w:p>
        </w:tc>
        <w:tc>
          <w:tcPr>
            <w:tcW w:w="8457" w:type="dxa"/>
            <w:gridSpan w:val="6"/>
            <w:tcBorders>
              <w:top w:val="single" w:color="auto" w:sz="4" w:space="0"/>
              <w:left w:val="single" w:color="auto" w:sz="4" w:space="0"/>
              <w:bottom w:val="single" w:color="auto" w:sz="4" w:space="0"/>
              <w:right w:val="single" w:color="auto" w:sz="4" w:space="0"/>
            </w:tcBorders>
            <w:vAlign w:val="center"/>
          </w:tcPr>
          <w:p>
            <w:pPr>
              <w:snapToGrid w:val="0"/>
              <w:spacing w:line="240" w:lineRule="exact"/>
              <w:ind w:firstLine="440" w:firstLineChars="200"/>
              <w:rPr>
                <w:color w:val="000000"/>
              </w:rPr>
            </w:pPr>
            <w:bookmarkStart w:id="11" w:name="projectInvitedEn"/>
            <w:r>
              <w:rPr>
                <w:rFonts w:ascii="Times New Roman" w:hAnsi="Times New Roman" w:eastAsia="Times New Roman" w:cs="Times New Roman"/>
                <w:sz w:val="22"/>
              </w:rPr>
              <w:t>Countries along the Maritime Silk Road</w:t>
            </w:r>
            <w:bookmarkEnd w:id="11"/>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10" w:hRule="atLeast"/>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12" w:name="projectPersonNumTitle"/>
            <w:r>
              <w:rPr>
                <w:rFonts w:ascii="Times New Roman" w:hAnsi="Times New Roman" w:eastAsia="Times New Roman" w:cs="Times New Roman"/>
                <w:sz w:val="22"/>
              </w:rPr>
              <w:t>Planned number of participants</w:t>
            </w:r>
            <w:bookmarkEnd w:id="12"/>
          </w:p>
        </w:tc>
        <w:tc>
          <w:tcPr>
            <w:tcW w:w="8457" w:type="dxa"/>
            <w:gridSpan w:val="6"/>
            <w:tcBorders>
              <w:top w:val="single" w:color="auto" w:sz="4" w:space="0"/>
              <w:left w:val="single" w:color="auto" w:sz="4" w:space="0"/>
              <w:bottom w:val="single" w:color="auto" w:sz="4" w:space="0"/>
              <w:right w:val="single" w:color="auto" w:sz="4" w:space="0"/>
            </w:tcBorders>
            <w:vAlign w:val="center"/>
          </w:tcPr>
          <w:p>
            <w:pPr>
              <w:snapToGrid w:val="0"/>
              <w:spacing w:line="240" w:lineRule="exact"/>
              <w:ind w:firstLine="4180" w:firstLineChars="1900"/>
              <w:rPr>
                <w:color w:val="000000"/>
              </w:rPr>
            </w:pPr>
            <w:bookmarkStart w:id="13" w:name="projectPersonNumMinEn"/>
            <w:bookmarkStart w:id="14" w:name="projectPersonNumMaxEn"/>
            <w:bookmarkStart w:id="15" w:name="prcEstimateNumEn"/>
            <w:r>
              <w:rPr>
                <w:rFonts w:ascii="Times New Roman" w:hAnsi="Times New Roman" w:eastAsia="Times New Roman" w:cs="Times New Roman"/>
                <w:sz w:val="22"/>
              </w:rPr>
              <w:t>30</w:t>
            </w:r>
            <w:bookmarkEnd w:id="13"/>
            <w:bookmarkEnd w:id="14"/>
            <w:bookmarkEnd w:id="15"/>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10" w:hRule="atLeast"/>
          <w:jc w:val="center"/>
        </w:trPr>
        <w:tc>
          <w:tcPr>
            <w:tcW w:w="1485" w:type="dxa"/>
            <w:vMerge w:val="restart"/>
            <w:tcBorders>
              <w:top w:val="single" w:color="auto" w:sz="4" w:space="0"/>
              <w:left w:val="single" w:color="auto" w:sz="4" w:space="0"/>
              <w:right w:val="single" w:color="auto" w:sz="4" w:space="0"/>
            </w:tcBorders>
            <w:vAlign w:val="center"/>
          </w:tcPr>
          <w:p>
            <w:pPr>
              <w:snapToGrid w:val="0"/>
              <w:spacing w:line="240" w:lineRule="exact"/>
              <w:jc w:val="center"/>
              <w:rPr>
                <w:color w:val="000000"/>
              </w:rPr>
            </w:pPr>
            <w:bookmarkStart w:id="16" w:name="studentRequireTitle"/>
            <w:r>
              <w:rPr>
                <w:rFonts w:ascii="Times New Roman" w:hAnsi="Times New Roman" w:eastAsia="Times New Roman" w:cs="Times New Roman"/>
                <w:sz w:val="22"/>
              </w:rPr>
              <w:t>Requirements for the Participants</w:t>
            </w:r>
            <w:bookmarkEnd w:id="16"/>
          </w:p>
        </w:tc>
        <w:tc>
          <w:tcPr>
            <w:tcW w:w="1275"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rPr>
            </w:pPr>
            <w:bookmarkStart w:id="17" w:name="studentRequireAgeTitle"/>
            <w:r>
              <w:rPr>
                <w:rFonts w:ascii="Times New Roman" w:hAnsi="Times New Roman" w:eastAsia="Times New Roman" w:cs="Times New Roman"/>
                <w:sz w:val="22"/>
              </w:rPr>
              <w:t>Age</w:t>
            </w:r>
            <w:bookmarkEnd w:id="17"/>
          </w:p>
        </w:tc>
        <w:tc>
          <w:tcPr>
            <w:tcW w:w="7182" w:type="dxa"/>
            <w:gridSpan w:val="5"/>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rPr>
            </w:pPr>
            <w:bookmarkStart w:id="18" w:name="pmStConditionAgeEn"/>
            <w:r>
              <w:rPr>
                <w:rFonts w:ascii="Times New Roman" w:hAnsi="Times New Roman" w:eastAsia="Times New Roman" w:cs="Times New Roman"/>
                <w:sz w:val="22"/>
              </w:rPr>
              <w:t>Under 45 for officials at or under director’s level;</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Under 50 for officials at director general’s level.</w:t>
            </w:r>
            <w:bookmarkEnd w:id="18"/>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758" w:hRule="atLeast"/>
          <w:jc w:val="center"/>
        </w:trPr>
        <w:tc>
          <w:tcPr>
            <w:tcW w:w="1485" w:type="dxa"/>
            <w:vMerge w:val="continue"/>
            <w:tcBorders>
              <w:left w:val="single" w:color="auto" w:sz="4" w:space="0"/>
              <w:right w:val="single" w:color="auto" w:sz="4" w:space="0"/>
            </w:tcBorders>
            <w:vAlign w:val="center"/>
          </w:tcPr>
          <w:p>
            <w:pPr>
              <w:snapToGrid w:val="0"/>
              <w:spacing w:line="240" w:lineRule="exact"/>
              <w:jc w:val="center"/>
              <w:rPr>
                <w:color w:val="000000"/>
              </w:rPr>
            </w:pPr>
          </w:p>
        </w:tc>
        <w:tc>
          <w:tcPr>
            <w:tcW w:w="1275"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rPr>
            </w:pPr>
            <w:bookmarkStart w:id="19" w:name="studentRequireHealthTitle"/>
            <w:r>
              <w:rPr>
                <w:rFonts w:ascii="Times New Roman" w:hAnsi="Times New Roman" w:eastAsia="Times New Roman" w:cs="Times New Roman"/>
                <w:sz w:val="22"/>
              </w:rPr>
              <w:t>Health condition</w:t>
            </w:r>
            <w:bookmarkEnd w:id="19"/>
          </w:p>
        </w:tc>
        <w:tc>
          <w:tcPr>
            <w:tcW w:w="7182" w:type="dxa"/>
            <w:gridSpan w:val="5"/>
            <w:tcBorders>
              <w:top w:val="single" w:color="auto" w:sz="4" w:space="0"/>
              <w:left w:val="single" w:color="auto" w:sz="4" w:space="0"/>
              <w:bottom w:val="single" w:color="auto" w:sz="4" w:space="0"/>
              <w:right w:val="single" w:color="auto" w:sz="4" w:space="0"/>
            </w:tcBorders>
            <w:vAlign w:val="center"/>
          </w:tcPr>
          <w:p>
            <w:pPr>
              <w:spacing w:line="240" w:lineRule="exact"/>
              <w:ind w:firstLine="440" w:firstLineChars="200"/>
              <w:rPr>
                <w:color w:val="000000"/>
              </w:rPr>
            </w:pPr>
            <w:bookmarkStart w:id="20" w:name="pmStCoditionBdEn"/>
            <w:r>
              <w:rPr>
                <w:rFonts w:ascii="Times New Roman" w:hAnsi="Times New Roman" w:eastAsia="Times New Roman" w:cs="Times New Roman"/>
                <w:sz w:val="22"/>
              </w:rPr>
              <w:t>In good health with health certificate issued by the local public hospitals; without diseases with which entry to China is disallowed by China’s laws and regulations; without severe chronic diseases such as serious high blood pressure, cardiovascular/cerebrovascular diseases and diabetes; without metal diseases or epidemic diseases that are likely to cause serious threat to public health; not in the process of recovering after a major operation or in the process of acute diseases; not seriously disabled or pregnant.</w:t>
            </w:r>
            <w:bookmarkEnd w:id="20"/>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73" w:hRule="exact"/>
          <w:jc w:val="center"/>
        </w:trPr>
        <w:tc>
          <w:tcPr>
            <w:tcW w:w="1485" w:type="dxa"/>
            <w:vMerge w:val="continue"/>
            <w:tcBorders>
              <w:left w:val="single" w:color="auto" w:sz="4" w:space="0"/>
              <w:right w:val="single" w:color="auto" w:sz="4" w:space="0"/>
            </w:tcBorders>
            <w:vAlign w:val="center"/>
          </w:tcPr>
          <w:p>
            <w:pPr>
              <w:snapToGrid w:val="0"/>
              <w:spacing w:line="240" w:lineRule="exact"/>
              <w:jc w:val="center"/>
              <w:rPr>
                <w:color w:val="000000"/>
              </w:rPr>
            </w:pPr>
          </w:p>
        </w:tc>
        <w:tc>
          <w:tcPr>
            <w:tcW w:w="1275"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rPr>
            </w:pPr>
            <w:bookmarkStart w:id="21" w:name="studentRequireLanguageTitle"/>
            <w:r>
              <w:rPr>
                <w:rFonts w:ascii="Times New Roman" w:hAnsi="Times New Roman" w:eastAsia="Times New Roman" w:cs="Times New Roman"/>
                <w:sz w:val="22"/>
              </w:rPr>
              <w:t>Language competence</w:t>
            </w:r>
            <w:bookmarkEnd w:id="21"/>
          </w:p>
        </w:tc>
        <w:tc>
          <w:tcPr>
            <w:tcW w:w="7182" w:type="dxa"/>
            <w:gridSpan w:val="5"/>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rPr>
            </w:pPr>
            <w:bookmarkStart w:id="22" w:name="pmStCoditionLangEn"/>
            <w:r>
              <w:rPr>
                <w:rFonts w:ascii="Times New Roman" w:hAnsi="Times New Roman" w:eastAsia="Times New Roman" w:cs="Times New Roman"/>
                <w:sz w:val="22"/>
              </w:rPr>
              <w:t>Capable of listening, speaking, reading and writing in English during the training</w:t>
            </w:r>
            <w:bookmarkEnd w:id="22"/>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7" w:hRule="exact"/>
          <w:jc w:val="center"/>
        </w:trPr>
        <w:tc>
          <w:tcPr>
            <w:tcW w:w="1485" w:type="dxa"/>
            <w:vMerge w:val="continue"/>
            <w:tcBorders>
              <w:left w:val="single" w:color="auto" w:sz="4" w:space="0"/>
              <w:bottom w:val="single" w:color="auto" w:sz="4" w:space="0"/>
              <w:right w:val="single" w:color="auto" w:sz="4" w:space="0"/>
            </w:tcBorders>
            <w:vAlign w:val="center"/>
          </w:tcPr>
          <w:p>
            <w:pPr>
              <w:snapToGrid w:val="0"/>
              <w:spacing w:line="240" w:lineRule="exact"/>
              <w:jc w:val="center"/>
              <w:rPr>
                <w:color w:val="000000"/>
              </w:rPr>
            </w:pPr>
          </w:p>
        </w:tc>
        <w:tc>
          <w:tcPr>
            <w:tcW w:w="1275" w:type="dxa"/>
            <w:tcBorders>
              <w:top w:val="single" w:color="auto" w:sz="4" w:space="0"/>
              <w:left w:val="single" w:color="auto" w:sz="4" w:space="0"/>
              <w:bottom w:val="single" w:color="auto" w:sz="4" w:space="0"/>
              <w:right w:val="single" w:color="auto" w:sz="4" w:space="0"/>
            </w:tcBorders>
            <w:vAlign w:val="center"/>
          </w:tcPr>
          <w:p>
            <w:pPr>
              <w:spacing w:line="240" w:lineRule="exact"/>
              <w:jc w:val="center"/>
              <w:rPr>
                <w:color w:val="000000"/>
                <w:szCs w:val="21"/>
              </w:rPr>
            </w:pPr>
            <w:bookmarkStart w:id="23" w:name="studentRequireOthersTitle"/>
            <w:r>
              <w:rPr>
                <w:rFonts w:ascii="Times New Roman" w:hAnsi="Times New Roman" w:eastAsia="Times New Roman" w:cs="Times New Roman"/>
                <w:sz w:val="22"/>
              </w:rPr>
              <w:t>others</w:t>
            </w:r>
            <w:bookmarkEnd w:id="23"/>
          </w:p>
        </w:tc>
        <w:tc>
          <w:tcPr>
            <w:tcW w:w="7182" w:type="dxa"/>
            <w:gridSpan w:val="5"/>
            <w:tcBorders>
              <w:top w:val="single" w:color="auto" w:sz="4" w:space="0"/>
              <w:left w:val="single" w:color="auto" w:sz="4" w:space="0"/>
              <w:bottom w:val="single" w:color="auto" w:sz="4" w:space="0"/>
              <w:right w:val="single" w:color="auto" w:sz="4" w:space="0"/>
            </w:tcBorders>
            <w:vAlign w:val="center"/>
          </w:tcPr>
          <w:p>
            <w:pPr>
              <w:spacing w:line="240" w:lineRule="exact"/>
              <w:jc w:val="center"/>
            </w:pPr>
            <w:bookmarkStart w:id="24" w:name="pmStCoditionOtherEn"/>
            <w:r>
              <w:rPr>
                <w:rFonts w:ascii="Times New Roman" w:hAnsi="Times New Roman" w:eastAsia="Times New Roman" w:cs="Times New Roman"/>
                <w:sz w:val="22"/>
              </w:rPr>
              <w:t>Family members or friends shall not follow</w:t>
            </w:r>
            <w:bookmarkEnd w:id="24"/>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42" w:hRule="atLeast"/>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25" w:name="projectHostPlaceEnTitle"/>
            <w:r>
              <w:rPr>
                <w:rFonts w:ascii="Times New Roman" w:hAnsi="Times New Roman" w:eastAsia="Times New Roman" w:cs="Times New Roman"/>
                <w:sz w:val="22"/>
              </w:rPr>
              <w:t>Venue</w:t>
            </w:r>
            <w:bookmarkEnd w:id="25"/>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26" w:name="projectHostPlaceEn"/>
            <w:r>
              <w:rPr>
                <w:rFonts w:ascii="Times New Roman" w:hAnsi="Times New Roman" w:eastAsia="Times New Roman" w:cs="Times New Roman"/>
                <w:sz w:val="22"/>
              </w:rPr>
              <w:t>Suzhou City, Jiangsu Province</w:t>
            </w:r>
            <w:bookmarkEnd w:id="26"/>
          </w:p>
        </w:tc>
        <w:tc>
          <w:tcPr>
            <w:tcW w:w="2094"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27" w:name="projectHpairEnTitle"/>
            <w:r>
              <w:rPr>
                <w:rFonts w:ascii="Times New Roman" w:hAnsi="Times New Roman" w:eastAsia="Times New Roman" w:cs="Times New Roman"/>
                <w:sz w:val="22"/>
              </w:rPr>
              <w:t>Weather conditions</w:t>
            </w:r>
            <w:bookmarkEnd w:id="27"/>
          </w:p>
        </w:tc>
        <w:tc>
          <w:tcPr>
            <w:tcW w:w="3936"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pPr>
            <w:bookmarkStart w:id="28" w:name="projectHpairEn"/>
            <w:r>
              <w:rPr>
                <w:rFonts w:ascii="Times New Roman" w:hAnsi="Times New Roman" w:eastAsia="Times New Roman" w:cs="Times New Roman"/>
                <w:sz w:val="22"/>
              </w:rPr>
              <w:t>20℃~30℃</w:t>
            </w:r>
            <w:bookmarkEnd w:id="28"/>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465" w:hRule="atLeast"/>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29" w:name="investigationCitysEnTitle"/>
            <w:r>
              <w:rPr>
                <w:rFonts w:ascii="Times New Roman" w:hAnsi="Times New Roman" w:eastAsia="Times New Roman" w:cs="Times New Roman"/>
                <w:sz w:val="22"/>
              </w:rPr>
              <w:t>Cities to be visited</w:t>
            </w:r>
            <w:bookmarkEnd w:id="29"/>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right"/>
              <w:rPr>
                <w:color w:val="000000"/>
              </w:rPr>
            </w:pPr>
            <w:bookmarkStart w:id="30" w:name="investigationCitysEn"/>
            <w:r>
              <w:rPr>
                <w:rFonts w:ascii="Times New Roman" w:hAnsi="Times New Roman" w:eastAsia="Times New Roman" w:cs="Times New Roman"/>
                <w:sz w:val="22"/>
              </w:rPr>
              <w:t>Hangzhou City, Zhejiang Province</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Shanghai City</w:t>
            </w:r>
            <w:bookmarkEnd w:id="30"/>
          </w:p>
        </w:tc>
        <w:tc>
          <w:tcPr>
            <w:tcW w:w="2094"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31" w:name="investigationConditionsEnTitle"/>
            <w:r>
              <w:rPr>
                <w:rFonts w:ascii="Times New Roman" w:hAnsi="Times New Roman" w:eastAsia="Times New Roman" w:cs="Times New Roman"/>
                <w:sz w:val="22"/>
              </w:rPr>
              <w:t>Weather conditions</w:t>
            </w:r>
            <w:bookmarkEnd w:id="31"/>
          </w:p>
        </w:tc>
        <w:tc>
          <w:tcPr>
            <w:tcW w:w="3936"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pPr>
            <w:bookmarkStart w:id="32" w:name="investigationConditionsEn"/>
            <w:r>
              <w:rPr>
                <w:rFonts w:ascii="Times New Roman" w:hAnsi="Times New Roman" w:eastAsia="Times New Roman" w:cs="Times New Roman"/>
                <w:sz w:val="22"/>
              </w:rPr>
              <w:t>Hangzhou City, Zhejiang Province:20℃~30℃</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Shanghai City:20℃~30℃</w:t>
            </w:r>
            <w:bookmarkEnd w:id="32"/>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33" w:name="projectAgCommentsEnTitle"/>
            <w:r>
              <w:rPr>
                <w:rFonts w:ascii="Times New Roman" w:hAnsi="Times New Roman" w:eastAsia="Times New Roman" w:cs="Times New Roman"/>
                <w:sz w:val="22"/>
              </w:rPr>
              <w:t>Remarks</w:t>
            </w:r>
            <w:bookmarkEnd w:id="33"/>
          </w:p>
        </w:tc>
        <w:tc>
          <w:tcPr>
            <w:tcW w:w="8457" w:type="dxa"/>
            <w:gridSpan w:val="6"/>
            <w:tcBorders>
              <w:top w:val="single" w:color="auto" w:sz="4" w:space="0"/>
              <w:left w:val="single" w:color="auto" w:sz="4" w:space="0"/>
              <w:bottom w:val="single" w:color="auto" w:sz="4" w:space="0"/>
              <w:right w:val="single" w:color="auto" w:sz="4" w:space="0"/>
            </w:tcBorders>
            <w:vAlign w:val="center"/>
          </w:tcPr>
          <w:p>
            <w:pPr>
              <w:snapToGrid w:val="0"/>
              <w:spacing w:line="240" w:lineRule="exact"/>
              <w:rPr>
                <w:color w:val="000000"/>
              </w:rPr>
            </w:pPr>
            <w:bookmarkStart w:id="34" w:name="projectIniComEn"/>
            <w:bookmarkStart w:id="35" w:name="projectAgCommentsEn"/>
            <w:r>
              <w:rPr>
                <w:rFonts w:ascii="Times New Roman" w:hAnsi="Times New Roman" w:eastAsia="Times New Roman" w:cs="Times New Roman"/>
                <w:sz w:val="22"/>
              </w:rPr>
              <w:t>1.Please prepare in advance seminar and exchange materials related to the theme of the program.</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2.Please attend official activities in formal attire, traditional/national dress, or work uniform.</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3.Please bring a small amount of commonly used medicine.</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4.The Chinese side will not provide computers. Please bring your own computer if needed.</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5.In principle, participants are not allowed to change their flight tickets to or from China on their own. If a change is truly necessary, please contact the Economic and Commercial Office of the Chinese Embassy in your country and follow the required procedures for ticket changes.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6.If you are unable to depart on time due to special circumstances, or if your flight is delayed during transit, please contact the Economic and Commercial Office or the contact person of the organizer in a timely manner and provide your latest flight information so that airport pickup can be arranged.</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7.During transit, please confirm whether your luggage needs to be checked in again.</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8.After your flight lands and you have collected your luggage, please proceed to the [international or domestic arrivals exit] and wait patiently. The staff will pick you up with a pickup sign showing the name of the organizer and the participant’s name. If you wait for more than 15 minutes, please continue waiting at the same place and contact the organizer’s contact person. [Very important reminder: Please do not leave on your own at any time.]</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9.It is recommended that you download and register for WeChat in advance.</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10.The arrangements for study visits may be adjusted according to the actual situation.</w:t>
            </w:r>
            <w:bookmarkEnd w:id="34"/>
            <w:bookmarkEnd w:id="35"/>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03" w:hRule="exact"/>
          <w:jc w:val="center"/>
        </w:trPr>
        <w:tc>
          <w:tcPr>
            <w:tcW w:w="1485" w:type="dxa"/>
            <w:vMerge w:val="restart"/>
            <w:tcBorders>
              <w:top w:val="single" w:color="auto" w:sz="4" w:space="0"/>
              <w:left w:val="single" w:color="auto" w:sz="4" w:space="0"/>
              <w:right w:val="single" w:color="auto" w:sz="4" w:space="0"/>
            </w:tcBorders>
            <w:vAlign w:val="center"/>
          </w:tcPr>
          <w:p>
            <w:pPr>
              <w:snapToGrid w:val="0"/>
              <w:spacing w:line="240" w:lineRule="exact"/>
              <w:jc w:val="center"/>
              <w:rPr>
                <w:color w:val="000000"/>
              </w:rPr>
            </w:pPr>
            <w:bookmarkStart w:id="36" w:name="contactTitle"/>
            <w:r>
              <w:rPr>
                <w:rFonts w:ascii="Times New Roman" w:hAnsi="Times New Roman" w:eastAsia="Times New Roman" w:cs="Times New Roman"/>
                <w:sz w:val="22"/>
              </w:rPr>
              <w:t>Contact information of the organizer</w:t>
            </w:r>
            <w:bookmarkEnd w:id="36"/>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37" w:name="projectContactPersonsEnTitle"/>
            <w:r>
              <w:rPr>
                <w:rFonts w:ascii="Times New Roman" w:hAnsi="Times New Roman" w:eastAsia="Times New Roman" w:cs="Times New Roman"/>
                <w:sz w:val="22"/>
              </w:rPr>
              <w:t>Contact person for the program</w:t>
            </w:r>
            <w:bookmarkEnd w:id="37"/>
          </w:p>
        </w:tc>
        <w:tc>
          <w:tcPr>
            <w:tcW w:w="6030" w:type="dxa"/>
            <w:gridSpan w:val="4"/>
            <w:tcBorders>
              <w:top w:val="single" w:color="auto" w:sz="4" w:space="0"/>
              <w:left w:val="single" w:color="auto" w:sz="4" w:space="0"/>
              <w:bottom w:val="single" w:color="auto" w:sz="4" w:space="0"/>
              <w:right w:val="single" w:color="auto" w:sz="4" w:space="0"/>
            </w:tcBorders>
            <w:vAlign w:val="center"/>
          </w:tcPr>
          <w:p>
            <w:pPr>
              <w:spacing w:line="240" w:lineRule="exact"/>
              <w:jc w:val="left"/>
              <w:rPr>
                <w:color w:val="000000"/>
                <w:lang w:val="de-DE"/>
              </w:rPr>
            </w:pPr>
            <w:bookmarkStart w:id="38" w:name="projectContactPersonsEn"/>
            <w:r>
              <w:rPr>
                <w:rFonts w:ascii="Times New Roman" w:hAnsi="Times New Roman" w:eastAsia="Times New Roman" w:cs="Times New Roman"/>
                <w:sz w:val="22"/>
              </w:rPr>
              <w:t xml:space="preserve">Ms.Likki(Pickup)  , Mr. XULI(All)   </w:t>
            </w:r>
            <w:bookmarkEnd w:id="38"/>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03" w:hRule="exact"/>
          <w:jc w:val="center"/>
        </w:trPr>
        <w:tc>
          <w:tcPr>
            <w:tcW w:w="1485" w:type="dxa"/>
            <w:vMerge w:val="continue"/>
            <w:tcBorders>
              <w:left w:val="single" w:color="auto" w:sz="4" w:space="0"/>
              <w:right w:val="single" w:color="auto" w:sz="4" w:space="0"/>
            </w:tcBorders>
            <w:vAlign w:val="center"/>
          </w:tcPr>
          <w:p>
            <w:pPr>
              <w:snapToGrid w:val="0"/>
              <w:spacing w:line="240" w:lineRule="exact"/>
              <w:jc w:val="center"/>
              <w:rPr>
                <w:color w:val="000000"/>
                <w:lang w:val="de-DE"/>
              </w:rPr>
            </w:pPr>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39" w:name="projectContactTelsEnTitle"/>
            <w:r>
              <w:rPr>
                <w:rFonts w:ascii="Times New Roman" w:hAnsi="Times New Roman" w:eastAsia="Times New Roman" w:cs="Times New Roman"/>
                <w:sz w:val="22"/>
              </w:rPr>
              <w:t>Office phone</w:t>
            </w:r>
            <w:bookmarkEnd w:id="39"/>
          </w:p>
        </w:tc>
        <w:tc>
          <w:tcPr>
            <w:tcW w:w="6030" w:type="dxa"/>
            <w:gridSpan w:val="4"/>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exact"/>
              <w:jc w:val="left"/>
              <w:rPr>
                <w:color w:val="000000"/>
                <w:szCs w:val="21"/>
              </w:rPr>
            </w:pPr>
            <w:bookmarkStart w:id="40" w:name="projectContactTelsEn"/>
            <w:r>
              <w:rPr>
                <w:rFonts w:ascii="Times New Roman" w:hAnsi="Times New Roman" w:eastAsia="Times New Roman" w:cs="Times New Roman"/>
                <w:sz w:val="22"/>
              </w:rPr>
              <w:t xml:space="preserve"> (Ms.Likki(Pickup)), 008651268083225(Mr. XULI(All))</w:t>
            </w:r>
            <w:bookmarkEnd w:id="40"/>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03" w:hRule="exact"/>
          <w:jc w:val="center"/>
        </w:trPr>
        <w:tc>
          <w:tcPr>
            <w:tcW w:w="1485" w:type="dxa"/>
            <w:vMerge w:val="continue"/>
            <w:tcBorders>
              <w:left w:val="single" w:color="auto" w:sz="4" w:space="0"/>
              <w:right w:val="single" w:color="auto" w:sz="4" w:space="0"/>
            </w:tcBorders>
            <w:vAlign w:val="center"/>
          </w:tcPr>
          <w:p>
            <w:pPr>
              <w:snapToGrid w:val="0"/>
              <w:spacing w:line="240" w:lineRule="exact"/>
              <w:jc w:val="center"/>
              <w:rPr>
                <w:color w:val="000000"/>
              </w:rPr>
            </w:pPr>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41" w:name="projectContactMobilesEnTitle"/>
            <w:r>
              <w:rPr>
                <w:rFonts w:ascii="Times New Roman" w:hAnsi="Times New Roman" w:eastAsia="Times New Roman" w:cs="Times New Roman"/>
                <w:sz w:val="22"/>
              </w:rPr>
              <w:t>Mobile phone</w:t>
            </w:r>
            <w:bookmarkEnd w:id="41"/>
          </w:p>
        </w:tc>
        <w:tc>
          <w:tcPr>
            <w:tcW w:w="6030" w:type="dxa"/>
            <w:gridSpan w:val="4"/>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exact"/>
              <w:jc w:val="left"/>
              <w:rPr>
                <w:color w:val="000000"/>
                <w:szCs w:val="21"/>
              </w:rPr>
            </w:pPr>
            <w:bookmarkStart w:id="42" w:name="projectContactMobilesEn"/>
            <w:r>
              <w:rPr>
                <w:rFonts w:ascii="Times New Roman" w:hAnsi="Times New Roman" w:eastAsia="Times New Roman" w:cs="Times New Roman"/>
                <w:sz w:val="22"/>
              </w:rPr>
              <w:t>008613912770666(Ms.Likki(Pickup)), 008615106207026(Mr. XULI(All))</w:t>
            </w:r>
            <w:bookmarkEnd w:id="42"/>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03" w:hRule="exact"/>
          <w:jc w:val="center"/>
        </w:trPr>
        <w:tc>
          <w:tcPr>
            <w:tcW w:w="1485" w:type="dxa"/>
            <w:vMerge w:val="continue"/>
            <w:tcBorders>
              <w:left w:val="single" w:color="auto" w:sz="4" w:space="0"/>
              <w:right w:val="single" w:color="auto" w:sz="4" w:space="0"/>
            </w:tcBorders>
            <w:vAlign w:val="center"/>
          </w:tcPr>
          <w:p>
            <w:pPr>
              <w:snapToGrid w:val="0"/>
              <w:spacing w:line="240" w:lineRule="exact"/>
              <w:jc w:val="center"/>
              <w:rPr>
                <w:color w:val="000000"/>
              </w:rPr>
            </w:pPr>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ind w:left="107" w:right="-107" w:rightChars="-51" w:hanging="112" w:hangingChars="51"/>
              <w:jc w:val="center"/>
              <w:rPr>
                <w:color w:val="000000"/>
              </w:rPr>
            </w:pPr>
            <w:bookmarkStart w:id="43" w:name="projectContactFaxsEnTitle"/>
            <w:r>
              <w:rPr>
                <w:rFonts w:ascii="Times New Roman" w:hAnsi="Times New Roman" w:eastAsia="Times New Roman" w:cs="Times New Roman"/>
                <w:sz w:val="22"/>
              </w:rPr>
              <w:t>Fax</w:t>
            </w:r>
            <w:bookmarkEnd w:id="43"/>
          </w:p>
        </w:tc>
        <w:tc>
          <w:tcPr>
            <w:tcW w:w="6030" w:type="dxa"/>
            <w:gridSpan w:val="4"/>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exact"/>
              <w:jc w:val="left"/>
              <w:rPr>
                <w:color w:val="000000"/>
                <w:szCs w:val="21"/>
              </w:rPr>
            </w:pPr>
            <w:bookmarkStart w:id="44" w:name="projectContactFaxsEn"/>
            <w:r>
              <w:rPr>
                <w:rFonts w:ascii="Times New Roman" w:hAnsi="Times New Roman" w:eastAsia="Times New Roman" w:cs="Times New Roman"/>
                <w:sz w:val="22"/>
              </w:rPr>
              <w:t xml:space="preserve"> (Ms.Likki(Pickup)), 0086-512-69379176(Mr. XULI(All))</w:t>
            </w:r>
            <w:bookmarkEnd w:id="44"/>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03" w:hRule="exact"/>
          <w:jc w:val="center"/>
        </w:trPr>
        <w:tc>
          <w:tcPr>
            <w:tcW w:w="1485" w:type="dxa"/>
            <w:vMerge w:val="continue"/>
            <w:tcBorders>
              <w:left w:val="single" w:color="auto" w:sz="4" w:space="0"/>
              <w:bottom w:val="single" w:color="auto" w:sz="4" w:space="0"/>
              <w:right w:val="single" w:color="auto" w:sz="4" w:space="0"/>
            </w:tcBorders>
            <w:vAlign w:val="center"/>
          </w:tcPr>
          <w:p>
            <w:pPr>
              <w:snapToGrid w:val="0"/>
              <w:spacing w:line="240" w:lineRule="exact"/>
              <w:jc w:val="center"/>
              <w:rPr>
                <w:color w:val="000000"/>
              </w:rPr>
            </w:pPr>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ind w:left="107" w:right="-107" w:rightChars="-51" w:hanging="112" w:hangingChars="51"/>
              <w:jc w:val="center"/>
              <w:rPr>
                <w:color w:val="000000"/>
              </w:rPr>
            </w:pPr>
            <w:bookmarkStart w:id="45" w:name="projectContactEmailsEnTitle"/>
            <w:r>
              <w:rPr>
                <w:rFonts w:ascii="Times New Roman" w:hAnsi="Times New Roman" w:eastAsia="Times New Roman" w:cs="Times New Roman"/>
                <w:sz w:val="22"/>
              </w:rPr>
              <w:t>E-mail</w:t>
            </w:r>
            <w:bookmarkEnd w:id="45"/>
          </w:p>
        </w:tc>
        <w:tc>
          <w:tcPr>
            <w:tcW w:w="6030" w:type="dxa"/>
            <w:gridSpan w:val="4"/>
            <w:tcBorders>
              <w:top w:val="single" w:color="auto" w:sz="4" w:space="0"/>
              <w:left w:val="single" w:color="auto" w:sz="4" w:space="0"/>
              <w:bottom w:val="single" w:color="auto" w:sz="4" w:space="0"/>
              <w:right w:val="single" w:color="auto" w:sz="4" w:space="0"/>
            </w:tcBorders>
            <w:vAlign w:val="center"/>
          </w:tcPr>
          <w:p>
            <w:pPr>
              <w:snapToGrid w:val="0"/>
              <w:spacing w:before="100" w:beforeAutospacing="1" w:after="100" w:afterAutospacing="1" w:line="240" w:lineRule="exact"/>
              <w:jc w:val="left"/>
              <w:rPr>
                <w:lang w:val="fr-FR"/>
              </w:rPr>
            </w:pPr>
            <w:bookmarkStart w:id="46" w:name="projectContactEmailsEn"/>
            <w:r>
              <w:rPr>
                <w:rFonts w:ascii="Times New Roman" w:hAnsi="Times New Roman" w:eastAsia="Times New Roman" w:cs="Times New Roman"/>
                <w:sz w:val="22"/>
              </w:rPr>
              <w:t>371892921@qq.com(Ms.Likki(Pickup)), 3537711383@qq.com(Mr. XULI(All))</w:t>
            </w:r>
            <w:bookmarkEnd w:id="46"/>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03" w:hRule="exact"/>
          <w:jc w:val="center"/>
        </w:trPr>
        <w:tc>
          <w:tcPr>
            <w:tcW w:w="1485" w:type="dxa"/>
            <w:vMerge w:val="continue"/>
            <w:tcBorders>
              <w:left w:val="single" w:color="auto" w:sz="4" w:space="0"/>
              <w:bottom w:val="single" w:color="auto" w:sz="4" w:space="0"/>
              <w:right w:val="single" w:color="auto" w:sz="4" w:space="0"/>
            </w:tcBorders>
            <w:vAlign w:val="center"/>
          </w:tcPr>
          <w:p>
            <w:pPr>
              <w:snapToGrid w:val="0"/>
              <w:spacing w:line="240" w:lineRule="exact"/>
              <w:jc w:val="center"/>
              <w:rPr>
                <w:color w:val="000000"/>
              </w:rPr>
            </w:pPr>
          </w:p>
        </w:tc>
        <w:tc>
          <w:tcPr>
            <w:tcW w:w="242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240" w:lineRule="exact"/>
              <w:ind w:left="107" w:right="-107" w:rightChars="-51" w:hanging="112" w:hangingChars="51"/>
              <w:jc w:val="center"/>
              <w:rPr>
                <w:color w:val="000000"/>
              </w:rPr>
            </w:pPr>
            <w:bookmarkStart w:id="47" w:name="projectAgAddressEnTitle"/>
            <w:r>
              <w:rPr>
                <w:rFonts w:ascii="Times New Roman" w:hAnsi="Times New Roman" w:eastAsia="Times New Roman" w:cs="Times New Roman"/>
                <w:sz w:val="22"/>
              </w:rPr>
              <w:t>Address</w:t>
            </w:r>
            <w:bookmarkEnd w:id="47"/>
          </w:p>
        </w:tc>
        <w:tc>
          <w:tcPr>
            <w:tcW w:w="6030" w:type="dxa"/>
            <w:gridSpan w:val="4"/>
            <w:tcBorders>
              <w:top w:val="single" w:color="auto" w:sz="4" w:space="0"/>
              <w:left w:val="single" w:color="auto" w:sz="4" w:space="0"/>
              <w:bottom w:val="single" w:color="auto" w:sz="4" w:space="0"/>
              <w:right w:val="single" w:color="auto" w:sz="4" w:space="0"/>
            </w:tcBorders>
            <w:vAlign w:val="center"/>
          </w:tcPr>
          <w:p>
            <w:pPr>
              <w:snapToGrid w:val="0"/>
              <w:spacing w:before="100" w:beforeAutospacing="1" w:after="100" w:afterAutospacing="1" w:line="240" w:lineRule="exact"/>
              <w:jc w:val="left"/>
              <w:rPr>
                <w:lang w:val="fr-FR"/>
              </w:rPr>
            </w:pPr>
            <w:bookmarkStart w:id="48" w:name="projectAgAddressEn"/>
            <w:r>
              <w:rPr>
                <w:rFonts w:ascii="Times New Roman" w:hAnsi="Times New Roman" w:eastAsia="Times New Roman" w:cs="Times New Roman"/>
                <w:sz w:val="22"/>
              </w:rPr>
              <w:t>Shihu Campus, Suzhou University of Science and Technology, No. 99 Xuefu Road, Huqiu District, Suzhou City, Jiangsu Province，China</w:t>
            </w:r>
            <w:bookmarkEnd w:id="48"/>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49" w:name="projectAgDescriptionEnTitle"/>
            <w:r>
              <w:rPr>
                <w:rFonts w:ascii="Times New Roman" w:hAnsi="Times New Roman" w:eastAsia="Times New Roman" w:cs="Times New Roman"/>
                <w:sz w:val="22"/>
              </w:rPr>
              <w:t>About the Organizer</w:t>
            </w:r>
            <w:bookmarkEnd w:id="49"/>
          </w:p>
        </w:tc>
        <w:tc>
          <w:tcPr>
            <w:tcW w:w="8457" w:type="dxa"/>
            <w:gridSpan w:val="6"/>
            <w:tcBorders>
              <w:top w:val="single" w:color="auto" w:sz="4" w:space="0"/>
              <w:left w:val="single" w:color="auto" w:sz="4" w:space="0"/>
              <w:bottom w:val="single" w:color="auto" w:sz="4" w:space="0"/>
              <w:right w:val="single" w:color="auto" w:sz="4" w:space="0"/>
            </w:tcBorders>
            <w:vAlign w:val="center"/>
          </w:tcPr>
          <w:p>
            <w:pPr>
              <w:snapToGrid w:val="0"/>
              <w:spacing w:line="240" w:lineRule="exact"/>
              <w:ind w:firstLine="28" w:firstLineChars="13"/>
              <w:jc w:val="left"/>
              <w:rPr>
                <w:szCs w:val="21"/>
              </w:rPr>
            </w:pPr>
            <w:bookmarkStart w:id="50" w:name="projectAgDescriptionEn"/>
            <w:r>
              <w:rPr>
                <w:rFonts w:ascii="Times New Roman" w:hAnsi="Times New Roman" w:eastAsia="Times New Roman" w:cs="Times New Roman"/>
                <w:sz w:val="22"/>
              </w:rPr>
              <w:t>Since 1993, Suzhou University of Science and Technology, formerly Suzhou Institute of Urban Construction and Environmental Protection, has organized 128 foreign-aid training programs of China, training more than 3,000 technical and managerial personnel in the fields of energy, environmental protection, water resources, and other areas from more than 120 countries in the Asia-Pacific region, Africa, and beyond. Even in 2022, when the COVID-19 pandemic was at its most severe, our university successfully held four online training programs. Through both online and offline training, the university has accumulated rich experience, established an effective management system and institutional mechanisms, built a dedicated teaching team with a high academic level, and achieved remarkable results in foreign-aid training.</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Over the past five years, the School of Environmental Science and Engineering of Suzhou University of Science and Technology has undertaken 37 foreign-aid training programs in environmental protection technologies. These training programs have focused on themes such as environmental protection, energy conservation and emission reduction, and circular economy. The courses have included topics such as analysis of CO₂ emission reduction in China, air pollution in China, and related control technologies. Participants have also visited manufacturers of air pollution control equipment such as Kelin. The School therefore has extensive experience in foreign-aid training in environmental protection technologies.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The School of Environmental Science and Engineering currently has a number of national, provincial, and ministerial-level research platforms, including the National-Local Joint Laboratory for Urban Domestic Sewage Resource Utilization Technology, the Jiangsu Key Laboratory of Environmental Science and Engineering, the Jiangsu Engineering Research Center for Modern Surveying and Mapping Instruments, and the Jiangsu Collaborative Innovation Center for Water Treatment Technology and Materials. In addition, in response to current key and challenging issues in environmental protection, the School has jointly established a Sponge City Joint Laboratory with Pulizi Environmental Technology Co., Ltd., and a VOC Control Joint Laboratory with Simeite Surface Materials Co., Ltd.</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A bilingual teaching team is the foundation for the successful organization of the seminar. Suzhou University of Science and Technology has an innovative teaching and research team in environmental engineering and science. All members of the team have at least one year of overseas study experience. They have an international perspective, a deep understanding of advanced environmental protection concepts worldwide, and familiarity with the experience and technologies of urban pollution prevention and control in Suzhou, the Yangtze River Delta region, and China. The teachers are knowledgeable, dedicated to their work, highly competent in teaching, and have a profound understanding of their respective research fields. They also possess rich teaching and practical experience, and are able to deliver courses and interact with participants in fluent English in a concise and easy-to-understand manner.</w:t>
            </w:r>
            <w:bookmarkEnd w:id="50"/>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1485" w:type="dxa"/>
            <w:tcBorders>
              <w:top w:val="single" w:color="auto" w:sz="4" w:space="0"/>
              <w:left w:val="single" w:color="auto" w:sz="4" w:space="0"/>
              <w:bottom w:val="single" w:color="auto" w:sz="4" w:space="0"/>
              <w:right w:val="single" w:color="auto" w:sz="4" w:space="0"/>
            </w:tcBorders>
            <w:vAlign w:val="center"/>
          </w:tcPr>
          <w:p>
            <w:pPr>
              <w:snapToGrid w:val="0"/>
              <w:spacing w:line="240" w:lineRule="exact"/>
              <w:jc w:val="center"/>
              <w:rPr>
                <w:color w:val="000000"/>
              </w:rPr>
            </w:pPr>
            <w:bookmarkStart w:id="51" w:name="projectAgContentEnTitle"/>
            <w:r>
              <w:rPr>
                <w:rFonts w:ascii="Times New Roman" w:hAnsi="Times New Roman" w:eastAsia="Times New Roman" w:cs="Times New Roman"/>
                <w:sz w:val="22"/>
              </w:rPr>
              <w:t>Training content</w:t>
            </w:r>
            <w:bookmarkEnd w:id="51"/>
          </w:p>
        </w:tc>
        <w:tc>
          <w:tcPr>
            <w:tcW w:w="8457" w:type="dxa"/>
            <w:gridSpan w:val="6"/>
            <w:tcBorders>
              <w:left w:val="single" w:color="auto" w:sz="4" w:space="0"/>
              <w:bottom w:val="single" w:color="auto" w:sz="4" w:space="0"/>
              <w:right w:val="single" w:color="auto" w:sz="4" w:space="0"/>
            </w:tcBorders>
            <w:vAlign w:val="center"/>
          </w:tcPr>
          <w:p>
            <w:pPr>
              <w:snapToGrid w:val="0"/>
              <w:spacing w:line="240" w:lineRule="exact"/>
              <w:ind w:firstLine="28" w:firstLineChars="13"/>
              <w:jc w:val="left"/>
              <w:rPr>
                <w:szCs w:val="21"/>
              </w:rPr>
            </w:pPr>
            <w:bookmarkStart w:id="52" w:name="projectAgContentEn"/>
            <w:r>
              <w:rPr>
                <w:rFonts w:ascii="Times New Roman" w:hAnsi="Times New Roman" w:eastAsia="Times New Roman" w:cs="Times New Roman"/>
                <w:sz w:val="22"/>
              </w:rPr>
              <w:t>Entrusted by the Ministry of Commerce of the People’s Republic of China, Suzhou University of Science and Technology will hold the Seminar on Seawater Desalination and Comprehensive Utilization for Countries along the Maritime Silk Road in Suzhou from October 29 to November 11, 2026. The seminar will combine classroom lectures, exchange discussions, and field visits. Renowned experts, scholars, and researchers from relevant fields in China will be invited to deliver lectures to the participants. During the seminar, relevant field teaching activities and study visits will also be arranged around seawater desalination and comprehensive utilization. Through a combination of case explanations and on-site observation, the seminar will help participants gain an in-depth understanding of China’s practical experience in seawater desalination and comprehensive utilization, further promoting exchanges and cooperation between China and Countries along the Maritime Silk Road.</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I. Main Training Contents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The seminar will be designed strictly in accordance with the relevant requirements of the foreign-aid training programs of the Ministry of Commerce. The training will be mainly based on classroom lectures, supplemented by thematic seminars, field teaching, exchanges, and interactive discussions. Course handouts and PowerPoint materials will be provided to the participants to help them systematically understand relevant knowledge and practical experience in the field of seawater desalination and comprehensive utilization. The main training courses are as follows: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1.Off-grid and Low-cost Applications: New Energy-driven Seawater Desalination Technology</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This course introduces new energy-driven off-grid seawater desalination technologies and low-cost water supply solutions.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2.Green Chemistry and Green Environmental Monitoring Technology</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This course introduces the concept of green chemistry, as well as new environmental monitoring technologies and their applications.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3.Innovation of Seawater Desalination Processes and Prospects for Energy Recovery Technologies under the Dual Carbon Goals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This course introduces the upgrading of seawater desalination processes under the dual carbon goals, with an emphasis on energy recovery and energy-saving operation to improve the efficiency of low-carbon water supply.</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4.Application Prospects and Challenges of Novel Functional Materials in Seawater Desalination</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This course introduces how novel functional materials can empower seawater desalination by improving efficiency and anti-fouling performance, while also discussing limitations related to cost, service life, and large-scale application.</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5.Membrane Separation Technology and Its Application in Seawater Desalination</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This course introduces the application of membrane separation technology in seawater desalination, including efficient desalination through processes such as reverse osmosis, with the aim of improving water supply quality and operational stability.</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II. Arrangement of Study Visits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During the seminar, in line with the theme of the program and the teaching schedule, participants will be arranged to visit relevant environmental protection enterprises and institutions in Suzhou and surrounding areas for study visits and field teaching. The proposed visits may include wastewater treatment plants, environmental protection equipment manufacturers, and demonstration sites related to green industries.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Through on-site visits, technical explanations, and exchange discussions, participants will further understand China’s practical experience in seawater desalination and comprehensive utilization, gain a more intuitive understanding of the development paths of green industries and the application of environmental protection technologies, and promote the integration of theoretical learning with practical cases. The arrangements for study visits may be adjusted according to the actual situation.</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III. Information on Some Main Lecturers</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1.Shen Yaoliang</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Professor, Ph.D., and doctoral supervisor at Suzhou University of Science and Technology. He has long been engaged in teaching and research on the theory of water and wastewater treatment. He is responsible for the development of the national-level characteristic major in Environmental Engineering and the key major of Jiangsu Province. His research on new processes for anaerobic biological wastewater treatment and ABR reactors is at a leading level in China.</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2.Li Dapeng</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Vice Dean and Professor of the School of Environmental Science and Engineering, Suzhou University of Science and Technology. He is an outstanding young and middle-aged academic leader under the “Qinglan Project” of Jiangsu Province. He is mainly engaged in teaching and research in the field of water treatment, has long undertaken teaching tasks for international students, and has extensive experience in internationalized teaching.</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3.Qian Feiyue</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Vice Dean and Associate Professor of the School of Environmental Science and Engineering, Suzhou University of Science and Technology. He is a peer review expert for projects of the National Natural Science Foundation of China. He is mainly engaged in teaching and research on theories and technologies for environmental pollution control, and has undertaken more than ten research projects, including projects supported by the National Natural Science Foundation of China and the Natural Science Foundation of Jiangsu Province.</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4.Yang Jie</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Professor at Suzhou University of Science and Technology. She is mainly engaged in teaching and research in environmental policy analysis, environmental planning, environmental risk analysis and management, and other related fields. She has a solid theoretical foundation and rich practical experience.</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IV. Other Information</w:t>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br w:type="textWrapping" w:clear="all"/>
            </w:r>
            <w:r>
              <w:rPr>
                <w:rFonts w:ascii="Times New Roman" w:hAnsi="Times New Roman" w:eastAsia="Times New Roman" w:cs="Times New Roman"/>
                <w:sz w:val="22"/>
              </w:rPr>
              <w:t>This seminar emphasizes the combination of theoretical teaching and practical study visits, highlighting its professional, practical, and international exchange-oriented characteristics. Through this training, participants will further deepen their understanding of the progress in seawater desalination and comprehensive utilization, enhance their knowledge of China’s achievements in economic and social development and ecological civilization construction, and lay a solid foundation for future practical cooperation in related fields.</w:t>
            </w:r>
            <w:bookmarkEnd w:id="52"/>
          </w:p>
        </w:tc>
      </w:tr>
    </w:tbl>
    <w:p>
      <w:pPr>
        <w:spacing w:after="156" w:afterLines="50" w:line="500" w:lineRule="exact"/>
        <w:rPr>
          <w:rFonts w:eastAsia="黑体"/>
          <w:b/>
          <w:color w:val="000000"/>
          <w:sz w:val="36"/>
          <w:szCs w:val="36"/>
        </w:rPr>
      </w:pPr>
    </w:p>
    <w:sectPr>
      <w:headerReference r:id="rId3" w:type="default"/>
      <w:pgSz w:w="11906" w:h="16838"/>
      <w:pgMar w:top="1134" w:right="1474" w:bottom="1418" w:left="147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Verdana">
    <w:panose1 w:val="020B0604030504040204"/>
    <w:charset w:val="00"/>
    <w:family w:val="swiss"/>
    <w:pitch w:val="default"/>
    <w:sig w:usb0="A00006FF" w:usb1="4000205B" w:usb2="00000010" w:usb3="00000000" w:csb0="2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E2338C"/>
    <w:multiLevelType w:val="multilevel"/>
    <w:tmpl w:val="27E2338C"/>
    <w:lvl w:ilvl="0" w:tentative="0">
      <w:start w:val="1"/>
      <w:numFmt w:val="decimal"/>
      <w:pStyle w:val="14"/>
      <w:lvlText w:val="%1a."/>
      <w:lvlJc w:val="left"/>
      <w:pPr>
        <w:tabs>
          <w:tab w:val="left" w:pos="425"/>
        </w:tabs>
        <w:ind w:left="425" w:hanging="425"/>
      </w:pPr>
      <w:rPr>
        <w:rFonts w:hint="eastAsia" w:ascii="宋体" w:eastAsia="宋体"/>
        <w:b w:val="0"/>
        <w:i w:val="0"/>
        <w:sz w:val="28"/>
        <w:szCs w:val="28"/>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NotTrackMoves/>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7B4E"/>
    <w:rsid w:val="0000121D"/>
    <w:rsid w:val="00015442"/>
    <w:rsid w:val="00016FCA"/>
    <w:rsid w:val="00024639"/>
    <w:rsid w:val="00024DF2"/>
    <w:rsid w:val="00035CE6"/>
    <w:rsid w:val="00041B9B"/>
    <w:rsid w:val="00043105"/>
    <w:rsid w:val="000440C8"/>
    <w:rsid w:val="0004659D"/>
    <w:rsid w:val="000479E3"/>
    <w:rsid w:val="00053C65"/>
    <w:rsid w:val="00057A95"/>
    <w:rsid w:val="000816CF"/>
    <w:rsid w:val="00082B2E"/>
    <w:rsid w:val="000833AA"/>
    <w:rsid w:val="000947ED"/>
    <w:rsid w:val="000A4741"/>
    <w:rsid w:val="000C07A2"/>
    <w:rsid w:val="000C10AB"/>
    <w:rsid w:val="000C1919"/>
    <w:rsid w:val="000C4BEA"/>
    <w:rsid w:val="000C5612"/>
    <w:rsid w:val="000C7E14"/>
    <w:rsid w:val="000D189E"/>
    <w:rsid w:val="000D7983"/>
    <w:rsid w:val="000E0F40"/>
    <w:rsid w:val="000E2D8B"/>
    <w:rsid w:val="000E67FA"/>
    <w:rsid w:val="000F4A94"/>
    <w:rsid w:val="000F7205"/>
    <w:rsid w:val="00110227"/>
    <w:rsid w:val="00117804"/>
    <w:rsid w:val="00121FAE"/>
    <w:rsid w:val="00147495"/>
    <w:rsid w:val="00147EBA"/>
    <w:rsid w:val="0015398B"/>
    <w:rsid w:val="001566AA"/>
    <w:rsid w:val="00160B9E"/>
    <w:rsid w:val="001627CC"/>
    <w:rsid w:val="0019705F"/>
    <w:rsid w:val="001A0684"/>
    <w:rsid w:val="001A619E"/>
    <w:rsid w:val="001A6C9B"/>
    <w:rsid w:val="001B2619"/>
    <w:rsid w:val="001B3239"/>
    <w:rsid w:val="001B56B7"/>
    <w:rsid w:val="001D1333"/>
    <w:rsid w:val="001E11EA"/>
    <w:rsid w:val="001F1C81"/>
    <w:rsid w:val="001F5785"/>
    <w:rsid w:val="00201318"/>
    <w:rsid w:val="00203C1F"/>
    <w:rsid w:val="00205C46"/>
    <w:rsid w:val="0021332D"/>
    <w:rsid w:val="002154F1"/>
    <w:rsid w:val="00215B97"/>
    <w:rsid w:val="002178D6"/>
    <w:rsid w:val="00223948"/>
    <w:rsid w:val="00234026"/>
    <w:rsid w:val="00234078"/>
    <w:rsid w:val="00241B0A"/>
    <w:rsid w:val="00242CB0"/>
    <w:rsid w:val="00246CCF"/>
    <w:rsid w:val="00254634"/>
    <w:rsid w:val="00263F97"/>
    <w:rsid w:val="002708FF"/>
    <w:rsid w:val="00271096"/>
    <w:rsid w:val="0027216C"/>
    <w:rsid w:val="002810BB"/>
    <w:rsid w:val="00294494"/>
    <w:rsid w:val="00294D6F"/>
    <w:rsid w:val="0029533B"/>
    <w:rsid w:val="0029653B"/>
    <w:rsid w:val="002A0153"/>
    <w:rsid w:val="002A212B"/>
    <w:rsid w:val="002A4A63"/>
    <w:rsid w:val="002B224C"/>
    <w:rsid w:val="002B57F8"/>
    <w:rsid w:val="002C43D0"/>
    <w:rsid w:val="002D19E0"/>
    <w:rsid w:val="002D76B5"/>
    <w:rsid w:val="002F16A0"/>
    <w:rsid w:val="00306A64"/>
    <w:rsid w:val="00311D5B"/>
    <w:rsid w:val="00320DDA"/>
    <w:rsid w:val="00321853"/>
    <w:rsid w:val="0032349B"/>
    <w:rsid w:val="00325DE9"/>
    <w:rsid w:val="00331CA6"/>
    <w:rsid w:val="003325CF"/>
    <w:rsid w:val="00333B40"/>
    <w:rsid w:val="0033645D"/>
    <w:rsid w:val="00336E81"/>
    <w:rsid w:val="00342BBA"/>
    <w:rsid w:val="00343DD9"/>
    <w:rsid w:val="00344D02"/>
    <w:rsid w:val="00350446"/>
    <w:rsid w:val="00357872"/>
    <w:rsid w:val="003622A4"/>
    <w:rsid w:val="00367E80"/>
    <w:rsid w:val="00371625"/>
    <w:rsid w:val="00374E29"/>
    <w:rsid w:val="00376380"/>
    <w:rsid w:val="003810EA"/>
    <w:rsid w:val="003B0697"/>
    <w:rsid w:val="003B1E0E"/>
    <w:rsid w:val="003B50A4"/>
    <w:rsid w:val="003B724D"/>
    <w:rsid w:val="003D1FDF"/>
    <w:rsid w:val="003D6AEE"/>
    <w:rsid w:val="003D7F15"/>
    <w:rsid w:val="003E0A79"/>
    <w:rsid w:val="003F01B4"/>
    <w:rsid w:val="00400C95"/>
    <w:rsid w:val="00403322"/>
    <w:rsid w:val="00405915"/>
    <w:rsid w:val="004164BE"/>
    <w:rsid w:val="00417674"/>
    <w:rsid w:val="0042008A"/>
    <w:rsid w:val="004203B5"/>
    <w:rsid w:val="004264A1"/>
    <w:rsid w:val="00435D6E"/>
    <w:rsid w:val="00441A8E"/>
    <w:rsid w:val="004432C2"/>
    <w:rsid w:val="004462F0"/>
    <w:rsid w:val="0044774E"/>
    <w:rsid w:val="004479AD"/>
    <w:rsid w:val="00454287"/>
    <w:rsid w:val="004578D2"/>
    <w:rsid w:val="004606BD"/>
    <w:rsid w:val="00477FEC"/>
    <w:rsid w:val="00487971"/>
    <w:rsid w:val="004910E8"/>
    <w:rsid w:val="00496BBC"/>
    <w:rsid w:val="004A14D5"/>
    <w:rsid w:val="004A5CA3"/>
    <w:rsid w:val="004A7F21"/>
    <w:rsid w:val="004B48F7"/>
    <w:rsid w:val="004C198D"/>
    <w:rsid w:val="004C291C"/>
    <w:rsid w:val="004C40EA"/>
    <w:rsid w:val="004D4687"/>
    <w:rsid w:val="004E0A61"/>
    <w:rsid w:val="004E392C"/>
    <w:rsid w:val="004E5B78"/>
    <w:rsid w:val="004F05B1"/>
    <w:rsid w:val="004F2E79"/>
    <w:rsid w:val="0050500E"/>
    <w:rsid w:val="00522233"/>
    <w:rsid w:val="00526AC2"/>
    <w:rsid w:val="005317B2"/>
    <w:rsid w:val="005339D5"/>
    <w:rsid w:val="00541FB5"/>
    <w:rsid w:val="00542446"/>
    <w:rsid w:val="00543CCC"/>
    <w:rsid w:val="0054627D"/>
    <w:rsid w:val="00565F2E"/>
    <w:rsid w:val="00565F7C"/>
    <w:rsid w:val="005707E4"/>
    <w:rsid w:val="00583D02"/>
    <w:rsid w:val="005904A2"/>
    <w:rsid w:val="00591B2D"/>
    <w:rsid w:val="00593A17"/>
    <w:rsid w:val="005949F0"/>
    <w:rsid w:val="00594B85"/>
    <w:rsid w:val="00596232"/>
    <w:rsid w:val="005A08AF"/>
    <w:rsid w:val="005B5B09"/>
    <w:rsid w:val="005B5FF0"/>
    <w:rsid w:val="005C19AE"/>
    <w:rsid w:val="005D593F"/>
    <w:rsid w:val="005E1BE0"/>
    <w:rsid w:val="005E75AC"/>
    <w:rsid w:val="005F00FF"/>
    <w:rsid w:val="00614A2D"/>
    <w:rsid w:val="006208A7"/>
    <w:rsid w:val="00621622"/>
    <w:rsid w:val="00624D5F"/>
    <w:rsid w:val="00624F6B"/>
    <w:rsid w:val="00636227"/>
    <w:rsid w:val="006376D5"/>
    <w:rsid w:val="00651984"/>
    <w:rsid w:val="00653B3E"/>
    <w:rsid w:val="00677EDC"/>
    <w:rsid w:val="00684722"/>
    <w:rsid w:val="00687183"/>
    <w:rsid w:val="00687FA0"/>
    <w:rsid w:val="00690A19"/>
    <w:rsid w:val="00690E00"/>
    <w:rsid w:val="006A3B97"/>
    <w:rsid w:val="006A7126"/>
    <w:rsid w:val="006A7351"/>
    <w:rsid w:val="006B08BE"/>
    <w:rsid w:val="006B0B68"/>
    <w:rsid w:val="006C26F7"/>
    <w:rsid w:val="006C33CD"/>
    <w:rsid w:val="006C4F55"/>
    <w:rsid w:val="006D1F2D"/>
    <w:rsid w:val="006D264C"/>
    <w:rsid w:val="006D736B"/>
    <w:rsid w:val="006E03AC"/>
    <w:rsid w:val="006E21BB"/>
    <w:rsid w:val="006E2BBF"/>
    <w:rsid w:val="00702A09"/>
    <w:rsid w:val="007119B5"/>
    <w:rsid w:val="00711B9D"/>
    <w:rsid w:val="007132D8"/>
    <w:rsid w:val="00713C71"/>
    <w:rsid w:val="00717150"/>
    <w:rsid w:val="007226C5"/>
    <w:rsid w:val="00722FA6"/>
    <w:rsid w:val="0072321B"/>
    <w:rsid w:val="00731249"/>
    <w:rsid w:val="007347B7"/>
    <w:rsid w:val="007364C3"/>
    <w:rsid w:val="00745969"/>
    <w:rsid w:val="00751B32"/>
    <w:rsid w:val="00762578"/>
    <w:rsid w:val="007674B9"/>
    <w:rsid w:val="0077628B"/>
    <w:rsid w:val="007818C2"/>
    <w:rsid w:val="00782D36"/>
    <w:rsid w:val="007839F8"/>
    <w:rsid w:val="007855BE"/>
    <w:rsid w:val="00786C3E"/>
    <w:rsid w:val="007C3860"/>
    <w:rsid w:val="007C495B"/>
    <w:rsid w:val="007C5B7D"/>
    <w:rsid w:val="007D58FF"/>
    <w:rsid w:val="007F198F"/>
    <w:rsid w:val="008063C7"/>
    <w:rsid w:val="00806EBF"/>
    <w:rsid w:val="00830305"/>
    <w:rsid w:val="00835098"/>
    <w:rsid w:val="0083775F"/>
    <w:rsid w:val="00842212"/>
    <w:rsid w:val="00845853"/>
    <w:rsid w:val="00846EEB"/>
    <w:rsid w:val="00861886"/>
    <w:rsid w:val="00864F23"/>
    <w:rsid w:val="00865178"/>
    <w:rsid w:val="008770F5"/>
    <w:rsid w:val="0088277E"/>
    <w:rsid w:val="0088447E"/>
    <w:rsid w:val="00890008"/>
    <w:rsid w:val="00893400"/>
    <w:rsid w:val="0089396C"/>
    <w:rsid w:val="00897BC3"/>
    <w:rsid w:val="008A62BB"/>
    <w:rsid w:val="008B0CF3"/>
    <w:rsid w:val="008B10CF"/>
    <w:rsid w:val="008B2176"/>
    <w:rsid w:val="008B4630"/>
    <w:rsid w:val="008C2BFA"/>
    <w:rsid w:val="008E2A29"/>
    <w:rsid w:val="008E3BC6"/>
    <w:rsid w:val="008E4752"/>
    <w:rsid w:val="008E5093"/>
    <w:rsid w:val="008E521A"/>
    <w:rsid w:val="008E74BE"/>
    <w:rsid w:val="008F0C87"/>
    <w:rsid w:val="008F13B9"/>
    <w:rsid w:val="008F5E55"/>
    <w:rsid w:val="009004A6"/>
    <w:rsid w:val="00902201"/>
    <w:rsid w:val="009109C0"/>
    <w:rsid w:val="00913065"/>
    <w:rsid w:val="00914C60"/>
    <w:rsid w:val="009158B4"/>
    <w:rsid w:val="00917318"/>
    <w:rsid w:val="00920367"/>
    <w:rsid w:val="00924895"/>
    <w:rsid w:val="009255DC"/>
    <w:rsid w:val="009414CB"/>
    <w:rsid w:val="00943991"/>
    <w:rsid w:val="00946E26"/>
    <w:rsid w:val="00957066"/>
    <w:rsid w:val="009608E6"/>
    <w:rsid w:val="00971E24"/>
    <w:rsid w:val="00984B6A"/>
    <w:rsid w:val="009866A2"/>
    <w:rsid w:val="0098695A"/>
    <w:rsid w:val="009A519C"/>
    <w:rsid w:val="009B14BB"/>
    <w:rsid w:val="009B1A9A"/>
    <w:rsid w:val="009C03E5"/>
    <w:rsid w:val="009C10A8"/>
    <w:rsid w:val="009C1913"/>
    <w:rsid w:val="009C1FAC"/>
    <w:rsid w:val="009D1040"/>
    <w:rsid w:val="009D6B22"/>
    <w:rsid w:val="009F0DE4"/>
    <w:rsid w:val="009F6E80"/>
    <w:rsid w:val="00A01BD3"/>
    <w:rsid w:val="00A12BFD"/>
    <w:rsid w:val="00A12E23"/>
    <w:rsid w:val="00A21129"/>
    <w:rsid w:val="00A32F33"/>
    <w:rsid w:val="00A36B8C"/>
    <w:rsid w:val="00A46D66"/>
    <w:rsid w:val="00A477F6"/>
    <w:rsid w:val="00A56630"/>
    <w:rsid w:val="00A6187D"/>
    <w:rsid w:val="00A65736"/>
    <w:rsid w:val="00A75531"/>
    <w:rsid w:val="00A762FB"/>
    <w:rsid w:val="00A84BC1"/>
    <w:rsid w:val="00A853E9"/>
    <w:rsid w:val="00A86F44"/>
    <w:rsid w:val="00A9410E"/>
    <w:rsid w:val="00A955C5"/>
    <w:rsid w:val="00A9646C"/>
    <w:rsid w:val="00A96758"/>
    <w:rsid w:val="00AA0CB4"/>
    <w:rsid w:val="00AC1596"/>
    <w:rsid w:val="00AD2509"/>
    <w:rsid w:val="00AD4D86"/>
    <w:rsid w:val="00AE0884"/>
    <w:rsid w:val="00AE5427"/>
    <w:rsid w:val="00AE748C"/>
    <w:rsid w:val="00AF6AE4"/>
    <w:rsid w:val="00B00B34"/>
    <w:rsid w:val="00B03D80"/>
    <w:rsid w:val="00B03E22"/>
    <w:rsid w:val="00B10629"/>
    <w:rsid w:val="00B15041"/>
    <w:rsid w:val="00B2400F"/>
    <w:rsid w:val="00B25A99"/>
    <w:rsid w:val="00B266A9"/>
    <w:rsid w:val="00B375BA"/>
    <w:rsid w:val="00B421BC"/>
    <w:rsid w:val="00B4685D"/>
    <w:rsid w:val="00B46EA6"/>
    <w:rsid w:val="00B50F8B"/>
    <w:rsid w:val="00B62B39"/>
    <w:rsid w:val="00B63AB3"/>
    <w:rsid w:val="00B6438A"/>
    <w:rsid w:val="00B719C4"/>
    <w:rsid w:val="00B96B84"/>
    <w:rsid w:val="00BA1135"/>
    <w:rsid w:val="00BA7825"/>
    <w:rsid w:val="00BC15E6"/>
    <w:rsid w:val="00BC1A13"/>
    <w:rsid w:val="00BC1FF7"/>
    <w:rsid w:val="00BC302B"/>
    <w:rsid w:val="00BC5CA0"/>
    <w:rsid w:val="00BC780B"/>
    <w:rsid w:val="00BC7B4E"/>
    <w:rsid w:val="00BD03E3"/>
    <w:rsid w:val="00BD6559"/>
    <w:rsid w:val="00BE0C54"/>
    <w:rsid w:val="00BE6288"/>
    <w:rsid w:val="00BF271E"/>
    <w:rsid w:val="00BF320D"/>
    <w:rsid w:val="00BF3402"/>
    <w:rsid w:val="00C0175C"/>
    <w:rsid w:val="00C109D0"/>
    <w:rsid w:val="00C1624F"/>
    <w:rsid w:val="00C20002"/>
    <w:rsid w:val="00C25AEA"/>
    <w:rsid w:val="00C26A61"/>
    <w:rsid w:val="00C32690"/>
    <w:rsid w:val="00C35F86"/>
    <w:rsid w:val="00C561E5"/>
    <w:rsid w:val="00C578C0"/>
    <w:rsid w:val="00C657ED"/>
    <w:rsid w:val="00C740BD"/>
    <w:rsid w:val="00C75014"/>
    <w:rsid w:val="00C759E0"/>
    <w:rsid w:val="00C82F04"/>
    <w:rsid w:val="00C926F4"/>
    <w:rsid w:val="00CA08A0"/>
    <w:rsid w:val="00CA66E5"/>
    <w:rsid w:val="00CB2E3C"/>
    <w:rsid w:val="00CB3104"/>
    <w:rsid w:val="00CB4ED0"/>
    <w:rsid w:val="00CB737E"/>
    <w:rsid w:val="00CB764E"/>
    <w:rsid w:val="00CC385D"/>
    <w:rsid w:val="00CC7D1D"/>
    <w:rsid w:val="00CE3A0A"/>
    <w:rsid w:val="00CE6108"/>
    <w:rsid w:val="00CF7899"/>
    <w:rsid w:val="00D06D7F"/>
    <w:rsid w:val="00D146F1"/>
    <w:rsid w:val="00D15C88"/>
    <w:rsid w:val="00D177DF"/>
    <w:rsid w:val="00D25C3C"/>
    <w:rsid w:val="00D26EB7"/>
    <w:rsid w:val="00D32CB6"/>
    <w:rsid w:val="00D4739C"/>
    <w:rsid w:val="00D56D70"/>
    <w:rsid w:val="00D6162C"/>
    <w:rsid w:val="00D621EE"/>
    <w:rsid w:val="00D647C2"/>
    <w:rsid w:val="00D7041F"/>
    <w:rsid w:val="00D70A15"/>
    <w:rsid w:val="00D7523C"/>
    <w:rsid w:val="00D80082"/>
    <w:rsid w:val="00D84117"/>
    <w:rsid w:val="00D90D3C"/>
    <w:rsid w:val="00D9295B"/>
    <w:rsid w:val="00DA24F3"/>
    <w:rsid w:val="00DA4403"/>
    <w:rsid w:val="00DB00C3"/>
    <w:rsid w:val="00DC0BF5"/>
    <w:rsid w:val="00DC36D9"/>
    <w:rsid w:val="00DC7D2C"/>
    <w:rsid w:val="00DE4085"/>
    <w:rsid w:val="00DE44F0"/>
    <w:rsid w:val="00DE46D2"/>
    <w:rsid w:val="00DF7290"/>
    <w:rsid w:val="00E01CD5"/>
    <w:rsid w:val="00E02C7B"/>
    <w:rsid w:val="00E03FD9"/>
    <w:rsid w:val="00E14EAB"/>
    <w:rsid w:val="00E179B5"/>
    <w:rsid w:val="00E20115"/>
    <w:rsid w:val="00E21EBF"/>
    <w:rsid w:val="00E25429"/>
    <w:rsid w:val="00E42BBD"/>
    <w:rsid w:val="00E456FE"/>
    <w:rsid w:val="00E47004"/>
    <w:rsid w:val="00E640F7"/>
    <w:rsid w:val="00E7089F"/>
    <w:rsid w:val="00E8247A"/>
    <w:rsid w:val="00E86A62"/>
    <w:rsid w:val="00E94140"/>
    <w:rsid w:val="00E97E84"/>
    <w:rsid w:val="00EA45B4"/>
    <w:rsid w:val="00EA6EB9"/>
    <w:rsid w:val="00EA7FE7"/>
    <w:rsid w:val="00EE1407"/>
    <w:rsid w:val="00EE4FC3"/>
    <w:rsid w:val="00EF02F5"/>
    <w:rsid w:val="00EF0B3D"/>
    <w:rsid w:val="00EF4CB4"/>
    <w:rsid w:val="00EF6558"/>
    <w:rsid w:val="00EF6CC3"/>
    <w:rsid w:val="00F00DEC"/>
    <w:rsid w:val="00F02969"/>
    <w:rsid w:val="00F11DF3"/>
    <w:rsid w:val="00F23FD9"/>
    <w:rsid w:val="00F240A9"/>
    <w:rsid w:val="00F30877"/>
    <w:rsid w:val="00F3224D"/>
    <w:rsid w:val="00F35EC4"/>
    <w:rsid w:val="00F409E4"/>
    <w:rsid w:val="00F86E5F"/>
    <w:rsid w:val="00F87DF3"/>
    <w:rsid w:val="00F9518E"/>
    <w:rsid w:val="00F970C8"/>
    <w:rsid w:val="00FB1878"/>
    <w:rsid w:val="00FC6962"/>
    <w:rsid w:val="00FC6ED0"/>
    <w:rsid w:val="00FC798A"/>
    <w:rsid w:val="00FD2336"/>
    <w:rsid w:val="00FD7B35"/>
    <w:rsid w:val="00FE08DF"/>
    <w:rsid w:val="00FF07AE"/>
    <w:rsid w:val="00FF0ECB"/>
    <w:rsid w:val="00FF50D1"/>
    <w:rsid w:val="017B037D"/>
    <w:rsid w:val="01A96302"/>
    <w:rsid w:val="04F468F9"/>
    <w:rsid w:val="0ED962C0"/>
    <w:rsid w:val="0F6B61E3"/>
    <w:rsid w:val="12223BE0"/>
    <w:rsid w:val="134E4615"/>
    <w:rsid w:val="1453700D"/>
    <w:rsid w:val="17625D90"/>
    <w:rsid w:val="18841049"/>
    <w:rsid w:val="19646DE0"/>
    <w:rsid w:val="1A513193"/>
    <w:rsid w:val="1B9C3F8F"/>
    <w:rsid w:val="1D6D5C31"/>
    <w:rsid w:val="1DCC71C5"/>
    <w:rsid w:val="1E186A94"/>
    <w:rsid w:val="1E270F21"/>
    <w:rsid w:val="206009D6"/>
    <w:rsid w:val="20876E37"/>
    <w:rsid w:val="22907A26"/>
    <w:rsid w:val="235C7040"/>
    <w:rsid w:val="27857B30"/>
    <w:rsid w:val="28297FB3"/>
    <w:rsid w:val="28AD1986"/>
    <w:rsid w:val="28E3570A"/>
    <w:rsid w:val="2CC43ACE"/>
    <w:rsid w:val="2D0A5EA2"/>
    <w:rsid w:val="2D2979E7"/>
    <w:rsid w:val="31020686"/>
    <w:rsid w:val="33245627"/>
    <w:rsid w:val="33CF255C"/>
    <w:rsid w:val="38C353CF"/>
    <w:rsid w:val="3F03766A"/>
    <w:rsid w:val="3F0F6B3A"/>
    <w:rsid w:val="4089639A"/>
    <w:rsid w:val="41B65C48"/>
    <w:rsid w:val="45701B00"/>
    <w:rsid w:val="49CE2EC8"/>
    <w:rsid w:val="4A6156DF"/>
    <w:rsid w:val="4B746B9E"/>
    <w:rsid w:val="4C112767"/>
    <w:rsid w:val="4C4F340D"/>
    <w:rsid w:val="4C7A3376"/>
    <w:rsid w:val="4F026738"/>
    <w:rsid w:val="4F4A3080"/>
    <w:rsid w:val="51641ED4"/>
    <w:rsid w:val="5441383F"/>
    <w:rsid w:val="55D25501"/>
    <w:rsid w:val="563362DD"/>
    <w:rsid w:val="5AD842DD"/>
    <w:rsid w:val="5C271A10"/>
    <w:rsid w:val="5D0A3A84"/>
    <w:rsid w:val="5E584CF6"/>
    <w:rsid w:val="5E9B1EFB"/>
    <w:rsid w:val="5F70542F"/>
    <w:rsid w:val="61B72E07"/>
    <w:rsid w:val="61DD0478"/>
    <w:rsid w:val="639E7749"/>
    <w:rsid w:val="63FF32B4"/>
    <w:rsid w:val="6B7147C6"/>
    <w:rsid w:val="6F735CBA"/>
    <w:rsid w:val="716647E3"/>
    <w:rsid w:val="71CD548F"/>
    <w:rsid w:val="740D4290"/>
    <w:rsid w:val="75B33544"/>
    <w:rsid w:val="76D669B3"/>
    <w:rsid w:val="7B914D52"/>
    <w:rsid w:val="7EB12B9D"/>
    <w:rsid w:val="7FAC40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nhideWhenUsed/>
    <w:uiPriority w:val="1"/>
  </w:style>
  <w:style w:type="table" w:default="1" w:styleId="5">
    <w:name w:val="Normal Table"/>
    <w:semiHidden/>
    <w:unhideWhenUsed/>
    <w:uiPriority w:val="99"/>
    <w:tblPr>
      <w:tblLayout w:type="fixed"/>
      <w:tblCellMar>
        <w:top w:w="0" w:type="dxa"/>
        <w:left w:w="108" w:type="dxa"/>
        <w:bottom w:w="0" w:type="dxa"/>
        <w:right w:w="108" w:type="dxa"/>
      </w:tblCellMar>
    </w:tblPr>
  </w:style>
  <w:style w:type="paragraph" w:styleId="2">
    <w:name w:val="Balloon Text"/>
    <w:basedOn w:val="1"/>
    <w:link w:val="8"/>
    <w:semiHidden/>
    <w:qFormat/>
    <w:uiPriority w:val="0"/>
    <w:rPr>
      <w:kern w:val="0"/>
      <w:sz w:val="18"/>
      <w:szCs w:val="18"/>
    </w:rPr>
  </w:style>
  <w:style w:type="paragraph" w:styleId="3">
    <w:name w:val="footer"/>
    <w:basedOn w:val="1"/>
    <w:link w:val="9"/>
    <w:unhideWhenUsed/>
    <w:qFormat/>
    <w:uiPriority w:val="99"/>
    <w:pPr>
      <w:tabs>
        <w:tab w:val="center" w:pos="4153"/>
        <w:tab w:val="right" w:pos="8306"/>
      </w:tabs>
      <w:snapToGrid w:val="0"/>
      <w:jc w:val="left"/>
    </w:pPr>
    <w:rPr>
      <w:sz w:val="18"/>
      <w:szCs w:val="18"/>
    </w:rPr>
  </w:style>
  <w:style w:type="paragraph" w:styleId="4">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character" w:styleId="7">
    <w:name w:val="Hyperlink"/>
    <w:qFormat/>
    <w:uiPriority w:val="0"/>
    <w:rPr>
      <w:color w:val="0000FF"/>
      <w:u w:val="single"/>
    </w:rPr>
  </w:style>
  <w:style w:type="character" w:customStyle="1" w:styleId="8">
    <w:name w:val="批注框文本 字符"/>
    <w:link w:val="2"/>
    <w:semiHidden/>
    <w:qFormat/>
    <w:uiPriority w:val="0"/>
    <w:rPr>
      <w:rFonts w:ascii="Times New Roman" w:hAnsi="Times New Roman" w:eastAsia="宋体" w:cs="Times New Roman"/>
      <w:sz w:val="18"/>
      <w:szCs w:val="18"/>
    </w:rPr>
  </w:style>
  <w:style w:type="character" w:customStyle="1" w:styleId="9">
    <w:name w:val="页脚 字符"/>
    <w:link w:val="3"/>
    <w:qFormat/>
    <w:uiPriority w:val="99"/>
    <w:rPr>
      <w:rFonts w:ascii="Times New Roman" w:hAnsi="Times New Roman"/>
      <w:kern w:val="2"/>
      <w:sz w:val="18"/>
      <w:szCs w:val="18"/>
    </w:rPr>
  </w:style>
  <w:style w:type="character" w:customStyle="1" w:styleId="10">
    <w:name w:val="页眉 字符"/>
    <w:link w:val="4"/>
    <w:qFormat/>
    <w:uiPriority w:val="99"/>
    <w:rPr>
      <w:rFonts w:ascii="Times New Roman" w:hAnsi="Times New Roman"/>
      <w:kern w:val="2"/>
      <w:sz w:val="18"/>
      <w:szCs w:val="18"/>
    </w:rPr>
  </w:style>
  <w:style w:type="character" w:customStyle="1" w:styleId="11">
    <w:name w:val="apple-converted-space"/>
    <w:qFormat/>
    <w:uiPriority w:val="0"/>
  </w:style>
  <w:style w:type="character" w:customStyle="1" w:styleId="12">
    <w:name w:val="apple-style-span"/>
    <w:qFormat/>
    <w:uiPriority w:val="0"/>
  </w:style>
  <w:style w:type="paragraph" w:customStyle="1" w:styleId="13">
    <w:name w:val="p0"/>
    <w:basedOn w:val="1"/>
    <w:qFormat/>
    <w:uiPriority w:val="0"/>
    <w:pPr>
      <w:widowControl/>
    </w:pPr>
    <w:rPr>
      <w:kern w:val="0"/>
      <w:szCs w:val="21"/>
    </w:rPr>
  </w:style>
  <w:style w:type="paragraph" w:customStyle="1" w:styleId="14">
    <w:name w:val="Char"/>
    <w:basedOn w:val="1"/>
    <w:next w:val="1"/>
    <w:qFormat/>
    <w:uiPriority w:val="0"/>
    <w:pPr>
      <w:pageBreakBefore/>
      <w:numPr>
        <w:ilvl w:val="0"/>
        <w:numId w:val="1"/>
      </w:numPr>
      <w:spacing w:line="400" w:lineRule="exact"/>
    </w:pPr>
    <w:rPr>
      <w:rFonts w:eastAsia="黑体"/>
      <w:sz w:val="32"/>
      <w:szCs w:val="32"/>
    </w:rPr>
  </w:style>
  <w:style w:type="paragraph" w:customStyle="1" w:styleId="15">
    <w:name w:val="_Style 2"/>
    <w:basedOn w:val="1"/>
    <w:qFormat/>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16">
    <w:name w:val="Char1"/>
    <w:basedOn w:val="1"/>
    <w:qFormat/>
    <w:uiPriority w:val="0"/>
    <w:pPr>
      <w:widowControl/>
      <w:spacing w:after="160" w:line="240" w:lineRule="exact"/>
      <w:jc w:val="left"/>
    </w:pPr>
    <w:rPr>
      <w:rFonts w:ascii="Arial" w:hAnsi="Arial" w:eastAsia="Times New Roman" w:cs="Verdana"/>
      <w:b/>
      <w:kern w:val="0"/>
      <w:sz w:val="24"/>
      <w:szCs w:val="20"/>
      <w:lang w:eastAsia="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92</Words>
  <Characters>527</Characters>
  <Lines>4</Lines>
  <Paragraphs>1</Paragraphs>
  <TotalTime>118</TotalTime>
  <ScaleCrop>false</ScaleCrop>
  <LinksUpToDate>false</LinksUpToDate>
  <CharactersWithSpaces>618</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2021-05-08T07:43:00Z</dcterms:created>
  <dc:creator>Amy</dc:creator>
  <cp:lastModifiedBy>ShiYongRen</cp:lastModifiedBy>
  <cp:lastPrinted>2016-02-24T06:55:00Z</cp:lastPrinted>
  <dcterms:modified xsi:type="dcterms:W3CDTF">2026-07-30T20:52:34Z</dcterms:modified>
  <dc:title>附件:</dc:title>
  <cp:revision>49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0AC38DCDD12E4D038DE90E87A4D3B4F1</vt:lpwstr>
  </property>
</Properties>
</file>