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56" w:afterLines="50" w:line="500" w:lineRule="exact"/>
        <w:jc w:val="center"/>
        <w:rPr>
          <w:rFonts w:hint="default" w:ascii="Times New Roman" w:hAnsi="Times New Roman" w:cs="Times New Roman"/>
          <w:b/>
        </w:rPr>
      </w:pPr>
      <w:bookmarkStart w:id="53" w:name="_GoBack"/>
      <w:r>
        <w:rPr>
          <w:rFonts w:hint="default" w:ascii="Times New Roman" w:hAnsi="Times New Roman" w:cs="Times New Roman"/>
          <w:b/>
          <w:sz w:val="30"/>
        </w:rPr>
        <w:t>Seminar on Standardization of Food and Agricultural Products under the Global Development initiative</w:t>
      </w:r>
      <w:bookmarkStart w:id="0" w:name="projectPnameEnTitle"/>
    </w:p>
    <w:bookmarkEnd w:id="53"/>
    <w:tbl>
      <w:tblPr>
        <w:tblStyle w:val="5"/>
        <w:tblW w:w="9942"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485"/>
        <w:gridCol w:w="1275"/>
        <w:gridCol w:w="1152"/>
        <w:gridCol w:w="1374"/>
        <w:gridCol w:w="720"/>
        <w:gridCol w:w="1857"/>
        <w:gridCol w:w="207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9"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 w:name="unitNameEnTitle"/>
            <w:r>
              <w:rPr>
                <w:rFonts w:eastAsia="Times New Roman"/>
                <w:sz w:val="22"/>
              </w:rPr>
              <w:t>Program name</w:t>
            </w:r>
            <w:bookmarkEnd w:id="0"/>
            <w:bookmarkEnd w:id="1"/>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2114"/>
              </w:tabs>
              <w:snapToGrid w:val="0"/>
              <w:spacing w:line="240" w:lineRule="exact"/>
              <w:jc w:val="center"/>
              <w:rPr>
                <w:color w:val="000000"/>
              </w:rPr>
            </w:pPr>
            <w:bookmarkStart w:id="2" w:name="projectPnameEn"/>
            <w:r>
              <w:rPr>
                <w:rFonts w:eastAsia="Times New Roman"/>
                <w:sz w:val="22"/>
              </w:rPr>
              <w:t>Seminar on Standardization of Food and Agricultural Products under the Global Development initiative</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 w:name="undertakeNameEnTitle"/>
            <w:r>
              <w:rPr>
                <w:rFonts w:eastAsia="Times New Roman"/>
                <w:sz w:val="22"/>
              </w:rPr>
              <w:t>Organized by</w:t>
            </w:r>
            <w:bookmarkEnd w:id="3"/>
          </w:p>
        </w:tc>
        <w:tc>
          <w:tcPr>
            <w:tcW w:w="8457" w:type="dxa"/>
            <w:gridSpan w:val="6"/>
            <w:tcBorders>
              <w:top w:val="single" w:color="auto" w:sz="4" w:space="0"/>
              <w:left w:val="single" w:color="auto" w:sz="4" w:space="0"/>
              <w:bottom w:val="single" w:color="auto" w:sz="4" w:space="0"/>
              <w:right w:val="single" w:color="auto" w:sz="4" w:space="0"/>
            </w:tcBorders>
            <w:vAlign w:val="center"/>
          </w:tcPr>
          <w:p>
            <w:pPr>
              <w:tabs>
                <w:tab w:val="left" w:pos="1293"/>
              </w:tabs>
              <w:snapToGrid w:val="0"/>
              <w:spacing w:line="240" w:lineRule="exact"/>
              <w:jc w:val="center"/>
              <w:rPr>
                <w:color w:val="000000"/>
              </w:rPr>
            </w:pPr>
            <w:bookmarkStart w:id="4" w:name="undertakeNameEn"/>
            <w:r>
              <w:rPr>
                <w:rFonts w:eastAsia="Times New Roman"/>
                <w:sz w:val="22"/>
              </w:rPr>
              <w:t>China National Research Institute of Food and Fermentation Industries Corporation Limited</w:t>
            </w:r>
            <w:bookmarkEnd w:id="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7" w:hRule="exac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 w:name="projectDateTitle"/>
            <w:r>
              <w:rPr>
                <w:rFonts w:eastAsia="Times New Roman"/>
                <w:sz w:val="22"/>
              </w:rPr>
              <w:t>Time</w:t>
            </w:r>
            <w:bookmarkEnd w:id="5"/>
          </w:p>
        </w:tc>
        <w:tc>
          <w:tcPr>
            <w:tcW w:w="3801" w:type="dxa"/>
            <w:gridSpan w:val="3"/>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6" w:name="projectStartDateEn"/>
            <w:r>
              <w:rPr>
                <w:rFonts w:eastAsia="Times New Roman"/>
                <w:sz w:val="22"/>
              </w:rPr>
              <w:t>2026-10-30</w:t>
            </w:r>
            <w:bookmarkEnd w:id="6"/>
            <w:r>
              <w:rPr>
                <w:rFonts w:hint="eastAsia"/>
                <w:color w:val="000000"/>
                <w:szCs w:val="21"/>
              </w:rPr>
              <w:t xml:space="preserve"> -- </w:t>
            </w:r>
            <w:bookmarkStart w:id="7" w:name="projectEndDateEn"/>
            <w:r>
              <w:rPr>
                <w:rFonts w:eastAsia="Times New Roman"/>
                <w:sz w:val="22"/>
              </w:rPr>
              <w:t>2026-11-12</w:t>
            </w:r>
            <w:bookmarkEnd w:id="7"/>
          </w:p>
        </w:tc>
        <w:tc>
          <w:tcPr>
            <w:tcW w:w="2577" w:type="dxa"/>
            <w:gridSpan w:val="2"/>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8" w:name="projectLanguageEnTitle"/>
            <w:r>
              <w:rPr>
                <w:rFonts w:eastAsia="Times New Roman"/>
                <w:sz w:val="22"/>
              </w:rPr>
              <w:t>Language used</w:t>
            </w:r>
            <w:bookmarkEnd w:id="8"/>
          </w:p>
        </w:tc>
        <w:tc>
          <w:tcPr>
            <w:tcW w:w="2079"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9" w:name="projectLanguageEn"/>
            <w:r>
              <w:rPr>
                <w:rFonts w:eastAsia="Times New Roman"/>
                <w:sz w:val="22"/>
              </w:rPr>
              <w:t>English</w:t>
            </w:r>
            <w:bookmarkEnd w:id="9"/>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8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0" w:name="projectInvitedEnTitle"/>
            <w:r>
              <w:rPr>
                <w:rFonts w:eastAsia="Times New Roman"/>
                <w:sz w:val="22"/>
              </w:rPr>
              <w:t>Countries invited</w:t>
            </w:r>
            <w:bookmarkEnd w:id="10"/>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40" w:firstLineChars="200"/>
              <w:rPr>
                <w:color w:val="000000"/>
              </w:rPr>
            </w:pPr>
            <w:bookmarkStart w:id="11" w:name="projectInvitedEn"/>
            <w:r>
              <w:rPr>
                <w:rFonts w:eastAsia="Times New Roman"/>
                <w:sz w:val="22"/>
              </w:rPr>
              <w:t xml:space="preserve"> Developing Countries</w:t>
            </w:r>
            <w:bookmarkEnd w:id="11"/>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12" w:name="projectPersonNumTitle"/>
            <w:r>
              <w:rPr>
                <w:rFonts w:eastAsia="Times New Roman"/>
                <w:sz w:val="22"/>
              </w:rPr>
              <w:t>Planned number of participants</w:t>
            </w:r>
            <w:bookmarkEnd w:id="12"/>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4180" w:firstLineChars="1900"/>
              <w:rPr>
                <w:color w:val="000000"/>
              </w:rPr>
            </w:pPr>
            <w:bookmarkStart w:id="13" w:name="projectPersonNumMinEn"/>
            <w:bookmarkStart w:id="14" w:name="projectPersonNumMaxEn"/>
            <w:bookmarkStart w:id="15" w:name="prcEstimateNumEn"/>
            <w:r>
              <w:rPr>
                <w:rFonts w:eastAsia="Times New Roman"/>
                <w:sz w:val="22"/>
              </w:rPr>
              <w:t>30</w:t>
            </w:r>
            <w:bookmarkEnd w:id="13"/>
            <w:bookmarkEnd w:id="14"/>
            <w:bookmarkEnd w:id="1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10" w:hRule="atLeas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16" w:name="studentRequireTitle"/>
            <w:r>
              <w:rPr>
                <w:rFonts w:eastAsia="Times New Roman"/>
                <w:sz w:val="22"/>
              </w:rPr>
              <w:t>Requirements for the Participants</w:t>
            </w:r>
            <w:bookmarkEnd w:id="16"/>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7" w:name="studentRequireAgeTitle"/>
            <w:r>
              <w:rPr>
                <w:rFonts w:eastAsia="Times New Roman"/>
                <w:sz w:val="22"/>
              </w:rPr>
              <w:t>Age</w:t>
            </w:r>
            <w:bookmarkEnd w:id="17"/>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8" w:name="pmStConditionAgeEn"/>
            <w:r>
              <w:rPr>
                <w:rFonts w:eastAsia="Times New Roman"/>
                <w:sz w:val="22"/>
              </w:rPr>
              <w:t>Under 45 for officials at or under director’s level;</w:t>
            </w:r>
            <w:r>
              <w:rPr>
                <w:rFonts w:eastAsia="Times New Roman"/>
                <w:sz w:val="22"/>
              </w:rPr>
              <w:br w:type="textWrapping" w:clear="all"/>
            </w:r>
            <w:r>
              <w:rPr>
                <w:rFonts w:eastAsia="Times New Roman"/>
                <w:sz w:val="22"/>
              </w:rPr>
              <w:t>Under 50 for officials at director general’s level.</w:t>
            </w:r>
            <w:bookmarkEnd w:id="1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758" w:hRule="atLeas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19" w:name="studentRequireHealthTitle"/>
            <w:r>
              <w:rPr>
                <w:rFonts w:eastAsia="Times New Roman"/>
                <w:sz w:val="22"/>
              </w:rPr>
              <w:t>Health condition</w:t>
            </w:r>
            <w:bookmarkEnd w:id="19"/>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ind w:firstLine="440" w:firstLineChars="200"/>
              <w:rPr>
                <w:color w:val="000000"/>
              </w:rPr>
            </w:pPr>
            <w:bookmarkStart w:id="20" w:name="pmStCoditionBdEn"/>
            <w:r>
              <w:rPr>
                <w:rFonts w:eastAsia="Times New Roman"/>
                <w:sz w:val="22"/>
              </w:rPr>
              <w:t>In good health with health certificate issued by the local public hospitals; without diseases with which entry to China is disallowed by China’s laws and regulations; without severe chronic diseases such as serious high blood pressure, cardiovascular/cerebrovascular diseases and diabetes; without metal diseases or epidemic diseases that are likely to cause serious threat to public health; not in the process of recovering after a major operation or in the process of acute diseases; not seriously disabled or pregnant.</w:t>
            </w:r>
            <w:bookmarkEnd w:id="2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1" w:name="studentRequireLanguageTitle"/>
            <w:r>
              <w:rPr>
                <w:rFonts w:eastAsia="Times New Roman"/>
                <w:sz w:val="22"/>
              </w:rPr>
              <w:t>Language competence</w:t>
            </w:r>
            <w:bookmarkEnd w:id="21"/>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rPr>
            </w:pPr>
            <w:bookmarkStart w:id="22" w:name="pmStCoditionLangEn"/>
            <w:r>
              <w:rPr>
                <w:rFonts w:eastAsia="Times New Roman"/>
                <w:sz w:val="22"/>
              </w:rPr>
              <w:t>English listening, speaking, reading, and writing proficiency meets instructional requirements.</w:t>
            </w:r>
            <w:bookmarkEnd w:id="2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7"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color w:val="000000"/>
                <w:szCs w:val="21"/>
              </w:rPr>
            </w:pPr>
            <w:bookmarkStart w:id="23" w:name="studentRequireOthersTitle"/>
            <w:r>
              <w:rPr>
                <w:rFonts w:eastAsia="Times New Roman"/>
                <w:sz w:val="22"/>
              </w:rPr>
              <w:t>others</w:t>
            </w:r>
            <w:bookmarkEnd w:id="23"/>
          </w:p>
        </w:tc>
        <w:tc>
          <w:tcPr>
            <w:tcW w:w="7182" w:type="dxa"/>
            <w:gridSpan w:val="5"/>
            <w:tcBorders>
              <w:top w:val="single" w:color="auto" w:sz="4" w:space="0"/>
              <w:left w:val="single" w:color="auto" w:sz="4" w:space="0"/>
              <w:bottom w:val="single" w:color="auto" w:sz="4" w:space="0"/>
              <w:right w:val="single" w:color="auto" w:sz="4" w:space="0"/>
            </w:tcBorders>
            <w:vAlign w:val="center"/>
          </w:tcPr>
          <w:p>
            <w:pPr>
              <w:spacing w:line="240" w:lineRule="exact"/>
              <w:jc w:val="center"/>
            </w:pPr>
            <w:bookmarkStart w:id="24" w:name="pmStCoditionOtherEn"/>
            <w:r>
              <w:rPr>
                <w:rFonts w:eastAsia="Times New Roman"/>
                <w:sz w:val="22"/>
              </w:rPr>
              <w:t>Participants are not permitted to bring spouses or relatives during the training program</w:t>
            </w:r>
            <w:bookmarkEnd w:id="2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4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5" w:name="projectHostPlaceEnTitle"/>
            <w:r>
              <w:rPr>
                <w:rFonts w:eastAsia="Times New Roman"/>
                <w:sz w:val="22"/>
              </w:rPr>
              <w:t>Venue</w:t>
            </w:r>
            <w:bookmarkEnd w:id="25"/>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6" w:name="projectHostPlaceEn"/>
            <w:r>
              <w:rPr>
                <w:rFonts w:eastAsia="Times New Roman"/>
                <w:sz w:val="22"/>
              </w:rPr>
              <w:t>Beijing City</w:t>
            </w:r>
            <w:bookmarkEnd w:id="26"/>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7" w:name="projectHpairEnTitle"/>
            <w:r>
              <w:rPr>
                <w:rFonts w:eastAsia="Times New Roman"/>
                <w:sz w:val="22"/>
              </w:rPr>
              <w:t>Weather conditions</w:t>
            </w:r>
            <w:bookmarkEnd w:id="27"/>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28" w:name="projectHpairEn"/>
            <w:r>
              <w:rPr>
                <w:rFonts w:eastAsia="Times New Roman"/>
                <w:sz w:val="22"/>
              </w:rPr>
              <w:t>1℃~10℃</w:t>
            </w:r>
            <w:bookmarkEnd w:id="2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465"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29" w:name="investigationCitysEnTitle"/>
            <w:r>
              <w:rPr>
                <w:rFonts w:eastAsia="Times New Roman"/>
                <w:sz w:val="22"/>
              </w:rPr>
              <w:t>Cities to be visited</w:t>
            </w:r>
            <w:bookmarkEnd w:id="29"/>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right"/>
              <w:rPr>
                <w:color w:val="000000"/>
              </w:rPr>
            </w:pPr>
            <w:bookmarkStart w:id="30" w:name="investigationCitysEn"/>
            <w:r>
              <w:rPr>
                <w:rFonts w:eastAsia="Times New Roman"/>
                <w:sz w:val="22"/>
              </w:rPr>
              <w:t>Zunyi City, Guizhou Province</w:t>
            </w:r>
            <w:bookmarkEnd w:id="30"/>
          </w:p>
        </w:tc>
        <w:tc>
          <w:tcPr>
            <w:tcW w:w="2094"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1" w:name="investigationConditionsEnTitle"/>
            <w:r>
              <w:rPr>
                <w:rFonts w:eastAsia="Times New Roman"/>
                <w:sz w:val="22"/>
              </w:rPr>
              <w:t>Weather conditions</w:t>
            </w:r>
            <w:bookmarkEnd w:id="31"/>
          </w:p>
        </w:tc>
        <w:tc>
          <w:tcPr>
            <w:tcW w:w="3936"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pPr>
            <w:bookmarkStart w:id="32" w:name="investigationConditionsEn"/>
            <w:r>
              <w:rPr>
                <w:rFonts w:eastAsia="Times New Roman"/>
                <w:sz w:val="22"/>
              </w:rPr>
              <w:t>Zunyi City, Guizhou Province:9℃~17℃</w:t>
            </w:r>
            <w:bookmarkEnd w:id="3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3" w:name="projectAgCommentsEnTitle"/>
            <w:r>
              <w:rPr>
                <w:rFonts w:eastAsia="Times New Roman"/>
                <w:sz w:val="22"/>
              </w:rPr>
              <w:t>Remarks</w:t>
            </w:r>
            <w:bookmarkEnd w:id="33"/>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rPr>
                <w:color w:val="000000"/>
              </w:rPr>
            </w:pPr>
            <w:bookmarkStart w:id="34" w:name="projectIniComEn"/>
            <w:bookmarkStart w:id="35" w:name="projectAgCommentsEn"/>
            <w:r>
              <w:rPr>
                <w:rFonts w:eastAsia="Times New Roman"/>
                <w:sz w:val="22"/>
              </w:rPr>
              <w:t>1. Please prepare materials related to the theme in advance.</w:t>
            </w:r>
            <w:r>
              <w:rPr>
                <w:rFonts w:eastAsia="Times New Roman"/>
                <w:sz w:val="22"/>
              </w:rPr>
              <w:br w:type="textWrapping" w:clear="all"/>
            </w:r>
            <w:r>
              <w:rPr>
                <w:rFonts w:eastAsia="Times New Roman"/>
                <w:sz w:val="22"/>
              </w:rPr>
              <w:t xml:space="preserve">2. Please wear formal attire, traditional ethnic clothing, or work uniforms for formal events. </w:t>
            </w:r>
            <w:r>
              <w:rPr>
                <w:rFonts w:eastAsia="Times New Roman"/>
                <w:sz w:val="22"/>
              </w:rPr>
              <w:br w:type="textWrapping" w:clear="all"/>
            </w:r>
            <w:r>
              <w:rPr>
                <w:rFonts w:eastAsia="Times New Roman"/>
                <w:sz w:val="22"/>
              </w:rPr>
              <w:t>3. Please bring commonly used medications.</w:t>
            </w:r>
            <w:r>
              <w:rPr>
                <w:rFonts w:eastAsia="Times New Roman"/>
                <w:sz w:val="22"/>
              </w:rPr>
              <w:br w:type="textWrapping" w:clear="all"/>
            </w:r>
            <w:r>
              <w:rPr>
                <w:rFonts w:eastAsia="Times New Roman"/>
                <w:sz w:val="22"/>
              </w:rPr>
              <w:t>4. Please bring your own computer if needed as they are not provided by the Chinese side.</w:t>
            </w:r>
            <w:r>
              <w:rPr>
                <w:rFonts w:eastAsia="Times New Roman"/>
                <w:sz w:val="22"/>
              </w:rPr>
              <w:br w:type="textWrapping" w:clear="all"/>
            </w:r>
            <w:r>
              <w:rPr>
                <w:rFonts w:eastAsia="Times New Roman"/>
                <w:sz w:val="22"/>
              </w:rPr>
              <w:t xml:space="preserve">5. Personal changes to flight tickets to and from China are not permitted. If such changes are essential, please contact the Economic and Commercial Office of the Chinese Embassy in your country to make the necessary arrangements. </w:t>
            </w:r>
            <w:r>
              <w:rPr>
                <w:rFonts w:eastAsia="Times New Roman"/>
                <w:sz w:val="22"/>
              </w:rPr>
              <w:br w:type="textWrapping" w:clear="all"/>
            </w:r>
            <w:r>
              <w:rPr>
                <w:rFonts w:eastAsia="Times New Roman"/>
                <w:sz w:val="22"/>
              </w:rPr>
              <w:t xml:space="preserve">6. If you are unable to depart on time due to special circumstances or experience flight delays during transit, please promptly inform the Economic and Commercial Office or the contact person of the host organization of your updated flight information to facilitate airport pickup. </w:t>
            </w:r>
            <w:r>
              <w:rPr>
                <w:rFonts w:eastAsia="Times New Roman"/>
                <w:sz w:val="22"/>
              </w:rPr>
              <w:br w:type="textWrapping" w:clear="all"/>
            </w:r>
            <w:r>
              <w:rPr>
                <w:rFonts w:eastAsia="Times New Roman"/>
                <w:sz w:val="22"/>
              </w:rPr>
              <w:t>7. During transit, please confirm whether luggage needs to be rechecked.</w:t>
            </w:r>
            <w:r>
              <w:rPr>
                <w:rFonts w:eastAsia="Times New Roman"/>
                <w:sz w:val="22"/>
              </w:rPr>
              <w:br w:type="textWrapping" w:clear="all"/>
            </w:r>
            <w:r>
              <w:rPr>
                <w:rFonts w:eastAsia="Times New Roman"/>
                <w:sz w:val="22"/>
              </w:rPr>
              <w:t>8. After collecting your luggage upon arrival, please proceed to the International or Domestic Arrivals Exit</w:t>
            </w:r>
            <w:r>
              <w:rPr>
                <w:rFonts w:eastAsia="Times New Roman"/>
                <w:sz w:val="22"/>
              </w:rPr>
              <w:t>​ and wait patiently. Staff members will be holding a welcome sign displaying "China National Research Institute of Food and Fermentation Industries Co., Ltd."​ along with the participant's name. If the waiting time exceeds 15 minutes, please contact the organizing unit representative.</w:t>
            </w:r>
            <w:r>
              <w:rPr>
                <w:rFonts w:eastAsia="Times New Roman"/>
                <w:sz w:val="22"/>
              </w:rPr>
              <w:br w:type="textWrapping" w:clear="all"/>
            </w:r>
            <w:r>
              <w:rPr>
                <w:rFonts w:eastAsia="Times New Roman"/>
                <w:sz w:val="22"/>
              </w:rPr>
              <w:t xml:space="preserve">9. It is recommended to download and register for </w:t>
            </w:r>
            <w:r>
              <w:rPr>
                <w:rFonts w:eastAsia="Times New Roman"/>
                <w:sz w:val="22"/>
              </w:rPr>
              <w:t>WeChat in advance.</w:t>
            </w:r>
            <w:bookmarkEnd w:id="34"/>
            <w:bookmarkEnd w:id="35"/>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restart"/>
            <w:tcBorders>
              <w:top w:val="single" w:color="auto" w:sz="4" w:space="0"/>
              <w:left w:val="single" w:color="auto" w:sz="4" w:space="0"/>
              <w:right w:val="single" w:color="auto" w:sz="4" w:space="0"/>
            </w:tcBorders>
            <w:vAlign w:val="center"/>
          </w:tcPr>
          <w:p>
            <w:pPr>
              <w:snapToGrid w:val="0"/>
              <w:spacing w:line="240" w:lineRule="exact"/>
              <w:jc w:val="center"/>
              <w:rPr>
                <w:color w:val="000000"/>
              </w:rPr>
            </w:pPr>
            <w:bookmarkStart w:id="36" w:name="contactTitle"/>
            <w:r>
              <w:rPr>
                <w:rFonts w:eastAsia="Times New Roman"/>
                <w:sz w:val="22"/>
              </w:rPr>
              <w:t>Contact information of the organizer</w:t>
            </w:r>
            <w:bookmarkEnd w:id="36"/>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7" w:name="projectContactPersonsEnTitle"/>
            <w:r>
              <w:rPr>
                <w:rFonts w:eastAsia="Times New Roman"/>
                <w:sz w:val="22"/>
              </w:rPr>
              <w:t>Contact person for the program</w:t>
            </w:r>
            <w:bookmarkEnd w:id="37"/>
          </w:p>
        </w:tc>
        <w:tc>
          <w:tcPr>
            <w:tcW w:w="6030"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left"/>
              <w:rPr>
                <w:color w:val="000000"/>
                <w:lang w:val="de-DE"/>
              </w:rPr>
            </w:pPr>
            <w:bookmarkStart w:id="38" w:name="projectContactPersonsEn"/>
            <w:r>
              <w:rPr>
                <w:rFonts w:eastAsia="Times New Roman"/>
                <w:sz w:val="22"/>
              </w:rPr>
              <w:t>Mr.PENG Hao</w:t>
            </w:r>
            <w:bookmarkEnd w:id="3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lang w:val="de-DE"/>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39" w:name="projectContactTelsEnTitle"/>
            <w:r>
              <w:rPr>
                <w:rFonts w:eastAsia="Times New Roman"/>
                <w:sz w:val="22"/>
              </w:rPr>
              <w:t>Office phone</w:t>
            </w:r>
            <w:bookmarkEnd w:id="39"/>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0" w:name="projectContactTelsEn"/>
            <w:r>
              <w:rPr>
                <w:rFonts w:eastAsia="Times New Roman"/>
                <w:sz w:val="22"/>
              </w:rPr>
              <w:t>0086-10-53218352(Mr.PENG)</w:t>
            </w:r>
            <w:bookmarkEnd w:id="4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1" w:name="projectContactMobilesEnTitle"/>
            <w:r>
              <w:rPr>
                <w:rFonts w:eastAsia="Times New Roman"/>
                <w:sz w:val="22"/>
              </w:rPr>
              <w:t>Mobile phone</w:t>
            </w:r>
            <w:bookmarkEnd w:id="41"/>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2" w:name="projectContactMobilesEn"/>
            <w:r>
              <w:rPr>
                <w:rFonts w:eastAsia="Times New Roman"/>
                <w:sz w:val="22"/>
              </w:rPr>
              <w:t>0086-15811250200(Mr.PENG)</w:t>
            </w:r>
            <w:bookmarkEnd w:id="4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12" w:right="-107" w:rightChars="-51" w:hanging="112" w:hangingChars="51"/>
              <w:jc w:val="center"/>
              <w:rPr>
                <w:color w:val="000000"/>
              </w:rPr>
            </w:pPr>
            <w:bookmarkStart w:id="43" w:name="projectContactFaxsEnTitle"/>
            <w:r>
              <w:rPr>
                <w:rFonts w:eastAsia="Times New Roman"/>
                <w:sz w:val="22"/>
              </w:rPr>
              <w:t>Fax</w:t>
            </w:r>
            <w:bookmarkEnd w:id="43"/>
          </w:p>
        </w:tc>
        <w:tc>
          <w:tcPr>
            <w:tcW w:w="6030"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exact"/>
              <w:jc w:val="left"/>
              <w:rPr>
                <w:color w:val="000000"/>
                <w:szCs w:val="21"/>
              </w:rPr>
            </w:pPr>
            <w:bookmarkStart w:id="44" w:name="projectContactFaxsEn"/>
            <w:r>
              <w:rPr>
                <w:rFonts w:eastAsia="Times New Roman"/>
                <w:sz w:val="22"/>
              </w:rPr>
              <w:t>0086-10-53218357(Mr.PENG)</w:t>
            </w:r>
            <w:bookmarkEnd w:id="44"/>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12" w:right="-107" w:rightChars="-51" w:hanging="112" w:hangingChars="51"/>
              <w:jc w:val="center"/>
              <w:rPr>
                <w:color w:val="000000"/>
              </w:rPr>
            </w:pPr>
            <w:bookmarkStart w:id="45" w:name="projectContactEmailsEnTitle"/>
            <w:r>
              <w:rPr>
                <w:rFonts w:eastAsia="Times New Roman"/>
                <w:sz w:val="22"/>
              </w:rPr>
              <w:t>E-mail</w:t>
            </w:r>
            <w:bookmarkEnd w:id="45"/>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rPr>
                <w:lang w:val="fr-FR"/>
              </w:rPr>
            </w:pPr>
            <w:bookmarkStart w:id="46" w:name="projectContactEmailsEn"/>
            <w:r>
              <w:rPr>
                <w:rFonts w:eastAsia="Times New Roman"/>
                <w:sz w:val="22"/>
              </w:rPr>
              <w:t>biotechonfood@126.com(Mr.PENG)</w:t>
            </w:r>
            <w:bookmarkEnd w:id="46"/>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03" w:hRule="exact"/>
          <w:jc w:val="center"/>
        </w:trPr>
        <w:tc>
          <w:tcPr>
            <w:tcW w:w="1485" w:type="dxa"/>
            <w:vMerge w:val="continue"/>
            <w:tcBorders>
              <w:left w:val="single" w:color="auto" w:sz="4" w:space="0"/>
              <w:bottom w:val="single" w:color="auto" w:sz="4" w:space="0"/>
              <w:right w:val="single" w:color="auto" w:sz="4" w:space="0"/>
            </w:tcBorders>
            <w:vAlign w:val="center"/>
          </w:tcPr>
          <w:p>
            <w:pPr>
              <w:snapToGrid w:val="0"/>
              <w:spacing w:line="240" w:lineRule="exact"/>
              <w:jc w:val="center"/>
              <w:rPr>
                <w:color w:val="000000"/>
              </w:rPr>
            </w:pPr>
          </w:p>
        </w:tc>
        <w:tc>
          <w:tcPr>
            <w:tcW w:w="2427" w:type="dxa"/>
            <w:gridSpan w:val="2"/>
            <w:tcBorders>
              <w:top w:val="single" w:color="auto" w:sz="4" w:space="0"/>
              <w:left w:val="single" w:color="auto" w:sz="4" w:space="0"/>
              <w:bottom w:val="single" w:color="auto" w:sz="4" w:space="0"/>
              <w:right w:val="single" w:color="auto" w:sz="4" w:space="0"/>
            </w:tcBorders>
            <w:vAlign w:val="center"/>
          </w:tcPr>
          <w:p>
            <w:pPr>
              <w:snapToGrid w:val="0"/>
              <w:spacing w:line="240" w:lineRule="exact"/>
              <w:ind w:left="112" w:right="-107" w:rightChars="-51" w:hanging="112" w:hangingChars="51"/>
              <w:jc w:val="center"/>
              <w:rPr>
                <w:color w:val="000000"/>
              </w:rPr>
            </w:pPr>
            <w:bookmarkStart w:id="47" w:name="projectAgAddressEnTitle"/>
            <w:r>
              <w:rPr>
                <w:rFonts w:eastAsia="Times New Roman"/>
                <w:sz w:val="22"/>
              </w:rPr>
              <w:t>Address</w:t>
            </w:r>
            <w:bookmarkEnd w:id="47"/>
          </w:p>
        </w:tc>
        <w:tc>
          <w:tcPr>
            <w:tcW w:w="6030"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00" w:beforeAutospacing="1" w:after="100" w:afterAutospacing="1" w:line="240" w:lineRule="exact"/>
              <w:jc w:val="left"/>
            </w:pPr>
            <w:bookmarkStart w:id="48" w:name="projectAgAddressEn"/>
            <w:r>
              <w:rPr>
                <w:rFonts w:eastAsia="Times New Roman"/>
                <w:sz w:val="22"/>
              </w:rPr>
              <w:t>Yard 24, Jiuxianqiao Middle Road, Chaoyang District, Beijing City</w:t>
            </w:r>
            <w:bookmarkEnd w:id="48"/>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49" w:name="projectAgDescriptionEnTitle"/>
            <w:r>
              <w:rPr>
                <w:rFonts w:eastAsia="Times New Roman"/>
                <w:sz w:val="22"/>
              </w:rPr>
              <w:t>About the Organizer</w:t>
            </w:r>
            <w:bookmarkEnd w:id="49"/>
          </w:p>
        </w:tc>
        <w:tc>
          <w:tcPr>
            <w:tcW w:w="8457" w:type="dxa"/>
            <w:gridSpan w:val="6"/>
            <w:tcBorders>
              <w:top w:val="single" w:color="auto" w:sz="4" w:space="0"/>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0" w:name="projectAgDescriptionEn"/>
            <w:r>
              <w:rPr>
                <w:rFonts w:eastAsia="Times New Roman"/>
                <w:sz w:val="22"/>
              </w:rPr>
              <w:t xml:space="preserve">China National Research Institute of Food &amp; Fermentation Industries Co., Ltd. (CNRIFFI) was founded in 1955. As a wholly-owned subsidiary of Poly China National Light Industry Corporation under China Poly Group Corporation, a Fortune Global 500 enterprise, it is a state-level research institute with a long history, large scale and strong comprehensive strength in China. It serves as a crucial technical support platform for China's food industry and a founder of multiple food sectors in the country. Relying on its strong technical capabilities, CNRIFFI has established an authoritative position in the development of new food products, technological research and development, standard formulation, quality inspection and other fields. </w:t>
            </w:r>
            <w:r>
              <w:rPr>
                <w:rFonts w:eastAsia="Times New Roman"/>
                <w:sz w:val="22"/>
              </w:rPr>
              <w:br w:type="textWrapping" w:clear="all"/>
            </w:r>
            <w:r>
              <w:rPr>
                <w:rFonts w:eastAsia="Times New Roman"/>
                <w:sz w:val="22"/>
              </w:rPr>
              <w:t xml:space="preserve">Since its establishment in 1977, the National Food and Fermentation Standardization Center under its affiliation, as a technical institution directly under the Standardization Administration of China, undertakes the secretariat work of seven national professional standardization technical committees, namely the National Technical Committee on Liquor Standardization (TC358), the National Technical Committee on Wine and Brewing Standardization (TC471), the National Technical Committee on Beverage Standardization (TC472), the National Technical Committee on Special Dietary Foods Standardization (TC466), Subcommittee on Industrial Fermentation of the National Technical Committee on Food Industry Standardization (TC64/SC5), Subcommittee on Canned Food of the National Technical </w:t>
            </w:r>
            <w:r>
              <w:rPr>
                <w:rFonts w:eastAsia="Times New Roman"/>
                <w:sz w:val="22"/>
              </w:rPr>
              <w:t>Committee on Food Industry Standardization (TC64/SC2), and Subcommittee on Metal Food Containers of the National Technical Committee on Metal Products Standardization (TC397/SC5). Internationally, the Center holds the secretariat of ISO/TC52 Light Metal Containers and acts as the Chinese counterpart for five international standardization technical committees including ISO/TC276 Biotechnology, ISO/TC34/SC3 Fruits and Vegetable Products, ISO/TC34/SC6 Microbiology, and provides important technical support on food standards for ministries and commissions including the National Health Commission, the Standardization Administration of China, the Ministry of Industry and Information Technology and the Ministry of Commerce.</w:t>
            </w:r>
            <w:r>
              <w:rPr>
                <w:rFonts w:eastAsia="Times New Roman"/>
                <w:sz w:val="22"/>
              </w:rPr>
              <w:br w:type="textWrapping" w:clear="all"/>
            </w:r>
            <w:r>
              <w:rPr>
                <w:rFonts w:eastAsia="Times New Roman"/>
                <w:sz w:val="22"/>
              </w:rPr>
              <w:t>Since 2005, our institute has continuously undertaken China’s foreign aid training programs, hosting more than 290 sessions of seminars for officials and technicians from developing countries, and training over 11,000 professionals from 138 countries and regions. The training covers key fields such as food safety inspection and management, application of biotechnology in food industry, agricultural product processing, food processing and preservation, fruit processing and comprehensive utilization, grain processing and testing technology, alcohol circulation management and promotion. Meanwhile, relying on the professional advantages of the National Food and Fermentation Standardization Center, our institute has successfully hosted a number of foreign aid programs themed on food and agricultural product standardization, coordination of wine standards and regulations, which have been highly recognized by all parties at home and abroad, laying a solid foundation for this workshop. Over the years, our institute has continuously summarized successful experience and extensively absorbed suggestions from participants. We have conducted in-depth research, careful preparation, timely updating and improvement on training modes, teaching plans, faculty teams, practical visits and other aspects, realizing standardized, regulated and refined operation in all work and forming a mature and complete foreign aid training system.</w:t>
            </w:r>
            <w:bookmarkEnd w:id="50"/>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1485" w:type="dxa"/>
            <w:tcBorders>
              <w:top w:val="single" w:color="auto" w:sz="4" w:space="0"/>
              <w:left w:val="single" w:color="auto" w:sz="4" w:space="0"/>
              <w:bottom w:val="single" w:color="auto" w:sz="4" w:space="0"/>
              <w:right w:val="single" w:color="auto" w:sz="4" w:space="0"/>
            </w:tcBorders>
            <w:vAlign w:val="center"/>
          </w:tcPr>
          <w:p>
            <w:pPr>
              <w:snapToGrid w:val="0"/>
              <w:spacing w:line="240" w:lineRule="exact"/>
              <w:jc w:val="center"/>
              <w:rPr>
                <w:color w:val="000000"/>
              </w:rPr>
            </w:pPr>
            <w:bookmarkStart w:id="51" w:name="projectAgContentEnTitle"/>
            <w:r>
              <w:rPr>
                <w:rFonts w:eastAsia="Times New Roman"/>
                <w:sz w:val="22"/>
              </w:rPr>
              <w:t>Training content</w:t>
            </w:r>
            <w:bookmarkEnd w:id="51"/>
          </w:p>
        </w:tc>
        <w:tc>
          <w:tcPr>
            <w:tcW w:w="8457" w:type="dxa"/>
            <w:gridSpan w:val="6"/>
            <w:tcBorders>
              <w:left w:val="single" w:color="auto" w:sz="4" w:space="0"/>
              <w:bottom w:val="single" w:color="auto" w:sz="4" w:space="0"/>
              <w:right w:val="single" w:color="auto" w:sz="4" w:space="0"/>
            </w:tcBorders>
            <w:vAlign w:val="center"/>
          </w:tcPr>
          <w:p>
            <w:pPr>
              <w:snapToGrid w:val="0"/>
              <w:spacing w:line="240" w:lineRule="exact"/>
              <w:ind w:firstLine="28" w:firstLineChars="13"/>
              <w:jc w:val="left"/>
              <w:rPr>
                <w:szCs w:val="21"/>
              </w:rPr>
            </w:pPr>
            <w:bookmarkStart w:id="52" w:name="projectAgContentEn"/>
            <w:r>
              <w:rPr>
                <w:rFonts w:eastAsia="Times New Roman"/>
                <w:sz w:val="22"/>
              </w:rPr>
              <w:t>I. Main training content</w:t>
            </w:r>
            <w:r>
              <w:rPr>
                <w:rFonts w:eastAsia="Times New Roman"/>
                <w:sz w:val="22"/>
              </w:rPr>
              <w:br w:type="textWrapping" w:clear="all"/>
            </w:r>
            <w:r>
              <w:rPr>
                <w:rFonts w:eastAsia="Times New Roman"/>
                <w:sz w:val="22"/>
              </w:rPr>
              <w:t>1. Lectures (subject to change based on actual circumstances)</w:t>
            </w:r>
            <w:r>
              <w:rPr>
                <w:rFonts w:eastAsia="Times New Roman"/>
                <w:sz w:val="22"/>
              </w:rPr>
              <w:br w:type="textWrapping" w:clear="all"/>
            </w:r>
            <w:r>
              <w:rPr>
                <w:rFonts w:eastAsia="Times New Roman"/>
                <w:sz w:val="22"/>
              </w:rPr>
              <w:t>(1) Overview of China: Introducing China’s history, geography, society, economy, culture, political system and diplomatic policy, and mainstream Chinese societal values and public morality, etc., helping participants understand China’s political system and foreign policy, and grasp the mainstream social values and public moral concepts in China.</w:t>
            </w:r>
            <w:r>
              <w:rPr>
                <w:rFonts w:eastAsia="Times New Roman"/>
                <w:sz w:val="22"/>
              </w:rPr>
              <w:br w:type="textWrapping" w:clear="all"/>
            </w:r>
            <w:r>
              <w:rPr>
                <w:rFonts w:eastAsia="Times New Roman"/>
                <w:sz w:val="22"/>
              </w:rPr>
              <w:t>(2) China’s International Development and Cooperation: Introduce China’s core concepts and major initiatives for international cooperation. Focus on food sector cooperation, and elaborate on achievements, models and future opportunities between China and other countries in food technology, trade, talent development and other fields.</w:t>
            </w:r>
            <w:r>
              <w:rPr>
                <w:rFonts w:eastAsia="Times New Roman"/>
                <w:sz w:val="22"/>
              </w:rPr>
              <w:br w:type="textWrapping" w:clear="all"/>
            </w:r>
            <w:r>
              <w:rPr>
                <w:rFonts w:eastAsia="Times New Roman"/>
                <w:sz w:val="22"/>
              </w:rPr>
              <w:t>(3) Introduction to China’s Food Laws and Standard System: Introduces the laws and regulatory framework, national standard system, supervision system and latest policies on food safety in China, helping overseas participants grasp the core basis for food market access and compliance.</w:t>
            </w:r>
            <w:r>
              <w:rPr>
                <w:rFonts w:eastAsia="Times New Roman"/>
                <w:sz w:val="22"/>
              </w:rPr>
              <w:br w:type="textWrapping" w:clear="all"/>
            </w:r>
            <w:r>
              <w:rPr>
                <w:rFonts w:eastAsia="Times New Roman"/>
                <w:sz w:val="22"/>
              </w:rPr>
              <w:t>(4) Standards and Compliance Control for the Use of Food Additives: Explains the scope, dosage limits, labeling requirements and key compliance review points for food additives in China, identifies common violation risks, and improves enterprise compliance management capabilities.</w:t>
            </w:r>
            <w:r>
              <w:rPr>
                <w:rFonts w:eastAsia="Times New Roman"/>
                <w:sz w:val="22"/>
              </w:rPr>
              <w:br w:type="textWrapping" w:clear="all"/>
            </w:r>
            <w:r>
              <w:rPr>
                <w:rFonts w:eastAsia="Times New Roman"/>
                <w:sz w:val="22"/>
              </w:rPr>
              <w:t>(5) Development of Agricultural Product Quality and Safety Standard System: Systematically introduces the framework of agricultural product quality and safety standards, as well as standards for production environment, production process, product quality and grading, to support standardized production and quality improvement of agricultural products.</w:t>
            </w:r>
            <w:r>
              <w:rPr>
                <w:rFonts w:eastAsia="Times New Roman"/>
                <w:sz w:val="22"/>
              </w:rPr>
              <w:br w:type="textWrapping" w:clear="all"/>
            </w:r>
            <w:r>
              <w:rPr>
                <w:rFonts w:eastAsia="Times New Roman"/>
                <w:sz w:val="22"/>
              </w:rPr>
              <w:t>(6) Safety Standards and Risk Assessment of Food Contact Materials: Expounds the regulations and standards, limit requirements, migration test methods and safety risk assessment procedures for food contact materials, so as to ensure the compliance and safety of food packaging and contact materials.</w:t>
            </w:r>
            <w:r>
              <w:rPr>
                <w:rFonts w:eastAsia="Times New Roman"/>
                <w:sz w:val="22"/>
              </w:rPr>
              <w:br w:type="textWrapping" w:clear="all"/>
            </w:r>
            <w:r>
              <w:rPr>
                <w:rFonts w:eastAsia="Times New Roman"/>
                <w:sz w:val="22"/>
              </w:rPr>
              <w:t xml:space="preserve">(7) Quality Traceability Standards and Application for the Whole Agricultural Product Industry </w:t>
            </w:r>
            <w:r>
              <w:rPr>
                <w:rFonts w:eastAsia="Times New Roman"/>
                <w:sz w:val="22"/>
              </w:rPr>
              <w:t>Chain:Introduces traceability standards, technical specifications and system application of agricultural products from planting, harvesting, processing to circulation, realizing traceable sources and controllable whole process.</w:t>
            </w:r>
            <w:r>
              <w:rPr>
                <w:rFonts w:eastAsia="Times New Roman"/>
                <w:sz w:val="22"/>
              </w:rPr>
              <w:br w:type="textWrapping" w:clear="all"/>
            </w:r>
            <w:r>
              <w:rPr>
                <w:rFonts w:eastAsia="Times New Roman"/>
                <w:sz w:val="22"/>
              </w:rPr>
              <w:t xml:space="preserve">2. Cultural </w:t>
            </w:r>
            <w:r>
              <w:rPr>
                <w:rFonts w:eastAsia="Times New Roman"/>
                <w:sz w:val="22"/>
              </w:rPr>
              <w:t>Experience</w:t>
            </w:r>
            <w:r>
              <w:rPr>
                <w:rFonts w:eastAsia="Times New Roman"/>
                <w:sz w:val="22"/>
              </w:rPr>
              <w:br w:type="textWrapping" w:clear="all"/>
            </w:r>
            <w:r>
              <w:rPr>
                <w:rFonts w:eastAsia="Times New Roman"/>
                <w:sz w:val="22"/>
              </w:rPr>
              <w:t xml:space="preserve">(1) Participants will be arranged to enjoy a traditional Chinese acrobatics show for an immersive experience of traditional Chinese culture. </w:t>
            </w:r>
            <w:r>
              <w:rPr>
                <w:rFonts w:eastAsia="Times New Roman"/>
                <w:sz w:val="22"/>
              </w:rPr>
              <w:br w:type="textWrapping" w:clear="all"/>
            </w:r>
            <w:r>
              <w:rPr>
                <w:rFonts w:eastAsia="Times New Roman"/>
                <w:sz w:val="22"/>
              </w:rPr>
              <w:t>(2) Cultural Activity – Visiting the Great Wall: Climbing the Great Wall enables participants to appreciate the indomitable spirit and profound history of the Chinese nation, while promoting mutual learning among civilizations and closer people-to-people bonds.</w:t>
            </w:r>
            <w:r>
              <w:rPr>
                <w:rFonts w:eastAsia="Times New Roman"/>
                <w:sz w:val="22"/>
              </w:rPr>
              <w:br w:type="textWrapping" w:clear="all"/>
            </w:r>
            <w:r>
              <w:rPr>
                <w:rFonts w:eastAsia="Times New Roman"/>
                <w:sz w:val="22"/>
              </w:rPr>
              <w:br w:type="textWrapping" w:clear="all"/>
            </w:r>
            <w:r>
              <w:rPr>
                <w:rFonts w:eastAsia="Times New Roman"/>
                <w:sz w:val="22"/>
              </w:rPr>
              <w:t>II. Study tour arrangements (subject to change based on actual circumstances</w:t>
            </w:r>
            <w:r>
              <w:rPr>
                <w:rFonts w:eastAsia="Times New Roman"/>
                <w:sz w:val="22"/>
              </w:rPr>
              <w:t>)</w:t>
            </w:r>
            <w:r>
              <w:rPr>
                <w:rFonts w:eastAsia="Times New Roman"/>
                <w:sz w:val="22"/>
              </w:rPr>
              <w:br w:type="textWrapping" w:clear="all"/>
            </w:r>
            <w:r>
              <w:rPr>
                <w:rFonts w:eastAsia="Times New Roman"/>
                <w:sz w:val="22"/>
              </w:rPr>
              <w:t xml:space="preserve">Participants will be arranged to visit local universities and food enterprises in </w:t>
            </w:r>
            <w:r>
              <w:rPr>
                <w:rFonts w:eastAsia="Times New Roman"/>
                <w:sz w:val="22"/>
              </w:rPr>
              <w:t xml:space="preserve">Zunyi city, Guizhou Province. Through field trips, they will better understand what they have learned, achieve more fruitful outcomes, and experience the diversity of China from different cities. </w:t>
            </w:r>
            <w:r>
              <w:rPr>
                <w:rFonts w:eastAsia="Times New Roman"/>
                <w:sz w:val="22"/>
              </w:rPr>
              <w:br w:type="textWrapping" w:clear="all"/>
            </w:r>
            <w:r>
              <w:rPr>
                <w:rFonts w:eastAsia="Times New Roman"/>
                <w:sz w:val="22"/>
              </w:rPr>
              <w:br w:type="textWrapping" w:clear="all"/>
            </w:r>
            <w:r>
              <w:rPr>
                <w:rFonts w:eastAsia="Times New Roman"/>
                <w:sz w:val="22"/>
              </w:rPr>
              <w:t>III. About the lecturers (subject to change based on actual circumstances)</w:t>
            </w:r>
            <w:r>
              <w:rPr>
                <w:rFonts w:eastAsia="Times New Roman"/>
                <w:sz w:val="22"/>
              </w:rPr>
              <w:br w:type="textWrapping" w:clear="all"/>
            </w:r>
            <w:r>
              <w:rPr>
                <w:rFonts w:eastAsia="Times New Roman"/>
                <w:sz w:val="22"/>
              </w:rPr>
              <w:t>(1) He Gang: Ph.D., Associate Professor and Master's Supervisor at the Institute of International Relations, China Foreign Affairs University, and Special Expert at the Center for Strategy and Security Studies, Tsinghua University. His core research focuses on discourse politics and narrative studies, international crisis management, China-EU relations, Balkan studies, and international relations theories.</w:t>
            </w:r>
            <w:r>
              <w:rPr>
                <w:rFonts w:eastAsia="Times New Roman"/>
                <w:sz w:val="22"/>
              </w:rPr>
              <w:br w:type="textWrapping" w:clear="all"/>
            </w:r>
            <w:r>
              <w:rPr>
                <w:rFonts w:eastAsia="Times New Roman"/>
                <w:sz w:val="22"/>
              </w:rPr>
              <w:t xml:space="preserve">(2) Yao </w:t>
            </w:r>
            <w:r>
              <w:rPr>
                <w:rFonts w:eastAsia="Times New Roman"/>
                <w:sz w:val="22"/>
              </w:rPr>
              <w:t>Shuai: Ph.D. in Diplomacy from the School of International Relations, Renmin University of China, is currently Deputy Director and Associate Researcher at the Institute of International Development Cooperation, Chinese Academy of International Trade and Economic Cooperation (CAITEC), Ministry of Commerce. His main research areas include foreign aid policy and management, foreign aid models of developed and emerging donor countries, foreign aid serving the "Belt and Road" Initiative, humanitarian aid, and research on the surrounding regions of the Asia-Pacific. Since joining CAITEC in July 2011, he has participated in the compilation of policy documents such as China's foreign aid plans, foreign aid white papers and country-specific aid guidance opinions, participated in and led more than 30 relevant research projects, participated in the compilation of more than 10 books, and published more than 40 academic articles and internal policy reports.</w:t>
            </w:r>
            <w:r>
              <w:rPr>
                <w:rFonts w:eastAsia="Times New Roman"/>
                <w:sz w:val="22"/>
              </w:rPr>
              <w:br w:type="textWrapping" w:clear="all"/>
            </w:r>
            <w:r>
              <w:rPr>
                <w:rFonts w:eastAsia="Times New Roman"/>
                <w:sz w:val="22"/>
              </w:rPr>
              <w:t>(3) Zheng Miao: Ph.D., Assistant Director and Senior Engineer of the Standard Digitalization R&amp;D Department, China National Research Institute of Food and Fermentation Industries Co., Ltd., and Core Expert at the National Food Fermentation Standardization Center. He has long been deeply engaged in research on standardization, quality and safety, and standard digitalization in the field of food fermentation.</w:t>
            </w:r>
            <w:r>
              <w:rPr>
                <w:rFonts w:eastAsia="Times New Roman"/>
                <w:sz w:val="22"/>
              </w:rPr>
              <w:br w:type="textWrapping" w:clear="all"/>
            </w:r>
            <w:r>
              <w:rPr>
                <w:rFonts w:eastAsia="Times New Roman"/>
                <w:sz w:val="22"/>
              </w:rPr>
              <w:t xml:space="preserve">(4) </w:t>
            </w:r>
            <w:r>
              <w:rPr>
                <w:rFonts w:eastAsia="Times New Roman"/>
                <w:sz w:val="22"/>
              </w:rPr>
              <w:t>Qiu Yueming: Ph.D., Vice President and Researcher of the China National Institute of Standardization, enjoying the Special Government Allowance of the State Council. His main research directions include food safety standardization, detection technology and standard substance research. He serves as the deputy chairman of many national standardization technical committees and a member of the National Food Safety Standard Review Committee, and presides over a number of national scientific research and standard development projects.</w:t>
            </w:r>
            <w:r>
              <w:rPr>
                <w:rFonts w:eastAsia="Times New Roman"/>
                <w:sz w:val="22"/>
              </w:rPr>
              <w:br w:type="textWrapping" w:clear="all"/>
            </w:r>
            <w:r>
              <w:rPr>
                <w:rFonts w:eastAsia="Times New Roman"/>
                <w:sz w:val="22"/>
              </w:rPr>
              <w:t xml:space="preserve">(5) Jin </w:t>
            </w:r>
            <w:r>
              <w:rPr>
                <w:rFonts w:eastAsia="Times New Roman"/>
                <w:sz w:val="22"/>
              </w:rPr>
              <w:t>Maojun: Ph.D., Researcher and Doctoral Supervisor at the Institute of Quality Standard and Testing Technology for Agro-Products, Chinese Academy of Agricultural Sciences (CAAS), and a leading talent of Agricultural Science Talents. His main research directions include agricultural product quality and safety, immunoassay, biosensing, and rapid detection technology. He serves as the Editor-in-Chief of the journal Food Safety and Health and presides over a number of national key R&amp;D programs.</w:t>
            </w:r>
            <w:r>
              <w:rPr>
                <w:rFonts w:eastAsia="Times New Roman"/>
                <w:sz w:val="22"/>
              </w:rPr>
              <w:br w:type="textWrapping" w:clear="all"/>
            </w:r>
            <w:r>
              <w:rPr>
                <w:rFonts w:eastAsia="Times New Roman"/>
                <w:sz w:val="22"/>
              </w:rPr>
              <w:t>(6) Wu Gang: Ph.D., Professor-level Senior Engineer of China National Research Institute of Food and Fermentation Industries Co., Ltd. He has long been engaged in research on canned food, food contact materials and food safety standardization. He is currently a member of the Subcommittee on Canned Food of the National Technical Committee on Food Industry Standardization (TC64/SC2), and presides over/participates in a number of national and industrial standard formulation/revision and key R&amp;D projects.</w:t>
            </w:r>
            <w:r>
              <w:rPr>
                <w:rFonts w:eastAsia="Times New Roman"/>
                <w:sz w:val="22"/>
              </w:rPr>
              <w:br w:type="textWrapping" w:clear="all"/>
            </w:r>
            <w:r>
              <w:rPr>
                <w:rFonts w:eastAsia="Times New Roman"/>
                <w:sz w:val="22"/>
              </w:rPr>
              <w:t xml:space="preserve">(7) Wang </w:t>
            </w:r>
            <w:r>
              <w:rPr>
                <w:rFonts w:eastAsia="Times New Roman"/>
                <w:sz w:val="22"/>
              </w:rPr>
              <w:t>Xiaolong: Director of the International Standard Service Center, China National Research Institute of Food and Fermentation Industries Co., Ltd. He is mainly responsible for research on food international standardization, CAC international standards, and canned food/beverage standards. He serves as a member of the National Technical Committee on Beverage Standardization (TC472) and the National Technical Committee on Food Industry Standardization (TC64), and has long been responsible for the proposal, preliminary study, declaration and formulation of international standards such as ISO and CAC.</w:t>
            </w:r>
            <w:bookmarkEnd w:id="52"/>
          </w:p>
        </w:tc>
      </w:tr>
    </w:tbl>
    <w:p>
      <w:pPr>
        <w:spacing w:after="156" w:afterLines="50" w:line="500" w:lineRule="exact"/>
        <w:rPr>
          <w:rFonts w:eastAsia="黑体"/>
          <w:b/>
          <w:color w:val="000000"/>
          <w:sz w:val="36"/>
          <w:szCs w:val="36"/>
        </w:rPr>
      </w:pPr>
    </w:p>
    <w:sectPr>
      <w:headerReference r:id="rId3" w:type="default"/>
      <w:pgSz w:w="11906" w:h="16838"/>
      <w:pgMar w:top="1134" w:right="1474"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Verdana">
    <w:panose1 w:val="020B0604030504040204"/>
    <w:charset w:val="00"/>
    <w:family w:val="swiss"/>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2338C"/>
    <w:multiLevelType w:val="multilevel"/>
    <w:tmpl w:val="27E2338C"/>
    <w:lvl w:ilvl="0" w:tentative="0">
      <w:start w:val="1"/>
      <w:numFmt w:val="decimal"/>
      <w:pStyle w:val="14"/>
      <w:lvlText w:val="%1a."/>
      <w:lvlJc w:val="left"/>
      <w:pPr>
        <w:tabs>
          <w:tab w:val="left" w:pos="425"/>
        </w:tabs>
        <w:ind w:left="425" w:hanging="425"/>
      </w:pPr>
      <w:rPr>
        <w:rFonts w:hint="eastAsia" w:ascii="宋体" w:eastAsia="宋体"/>
        <w:b w:val="0"/>
        <w:i w:val="0"/>
        <w:sz w:val="28"/>
        <w:szCs w:val="28"/>
      </w:rPr>
    </w:lvl>
    <w:lvl w:ilvl="1" w:tentative="0">
      <w:start w:val="1"/>
      <w:numFmt w:val="decimal"/>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B4E"/>
    <w:rsid w:val="0000121D"/>
    <w:rsid w:val="00015442"/>
    <w:rsid w:val="00016FCA"/>
    <w:rsid w:val="00024639"/>
    <w:rsid w:val="00024DF2"/>
    <w:rsid w:val="00035CE6"/>
    <w:rsid w:val="00041B9B"/>
    <w:rsid w:val="00043105"/>
    <w:rsid w:val="000440C8"/>
    <w:rsid w:val="0004659D"/>
    <w:rsid w:val="000479E3"/>
    <w:rsid w:val="00053C65"/>
    <w:rsid w:val="00057A95"/>
    <w:rsid w:val="000816CF"/>
    <w:rsid w:val="00082B2E"/>
    <w:rsid w:val="000833AA"/>
    <w:rsid w:val="000947ED"/>
    <w:rsid w:val="000A4741"/>
    <w:rsid w:val="000C07A2"/>
    <w:rsid w:val="000C10AB"/>
    <w:rsid w:val="000C1919"/>
    <w:rsid w:val="000C4BEA"/>
    <w:rsid w:val="000C5612"/>
    <w:rsid w:val="000C7E14"/>
    <w:rsid w:val="000D189E"/>
    <w:rsid w:val="000D7983"/>
    <w:rsid w:val="000E0F40"/>
    <w:rsid w:val="000E2D8B"/>
    <w:rsid w:val="000E67FA"/>
    <w:rsid w:val="000F4A94"/>
    <w:rsid w:val="000F7205"/>
    <w:rsid w:val="00110227"/>
    <w:rsid w:val="00117804"/>
    <w:rsid w:val="00121FAE"/>
    <w:rsid w:val="00147495"/>
    <w:rsid w:val="00147EBA"/>
    <w:rsid w:val="0015398B"/>
    <w:rsid w:val="001566AA"/>
    <w:rsid w:val="00160B9E"/>
    <w:rsid w:val="001627CC"/>
    <w:rsid w:val="0019705F"/>
    <w:rsid w:val="001A0684"/>
    <w:rsid w:val="001A619E"/>
    <w:rsid w:val="001A6C9B"/>
    <w:rsid w:val="001B2619"/>
    <w:rsid w:val="001B3239"/>
    <w:rsid w:val="001B56B7"/>
    <w:rsid w:val="001D1333"/>
    <w:rsid w:val="001E11EA"/>
    <w:rsid w:val="001F1C81"/>
    <w:rsid w:val="001F5785"/>
    <w:rsid w:val="00201318"/>
    <w:rsid w:val="00203C1F"/>
    <w:rsid w:val="00205C46"/>
    <w:rsid w:val="0021332D"/>
    <w:rsid w:val="002154F1"/>
    <w:rsid w:val="00215B97"/>
    <w:rsid w:val="002178D6"/>
    <w:rsid w:val="00223948"/>
    <w:rsid w:val="00234026"/>
    <w:rsid w:val="00234078"/>
    <w:rsid w:val="00241B0A"/>
    <w:rsid w:val="00242CB0"/>
    <w:rsid w:val="00246CCF"/>
    <w:rsid w:val="00254634"/>
    <w:rsid w:val="00263F97"/>
    <w:rsid w:val="002708FF"/>
    <w:rsid w:val="00271096"/>
    <w:rsid w:val="0027216C"/>
    <w:rsid w:val="002810BB"/>
    <w:rsid w:val="00294494"/>
    <w:rsid w:val="00294D6F"/>
    <w:rsid w:val="0029533B"/>
    <w:rsid w:val="0029653B"/>
    <w:rsid w:val="002A0153"/>
    <w:rsid w:val="002A212B"/>
    <w:rsid w:val="002A4A63"/>
    <w:rsid w:val="002B224C"/>
    <w:rsid w:val="002B57F8"/>
    <w:rsid w:val="002C43D0"/>
    <w:rsid w:val="002D19E0"/>
    <w:rsid w:val="002D76B5"/>
    <w:rsid w:val="002F16A0"/>
    <w:rsid w:val="00306A64"/>
    <w:rsid w:val="00311D5B"/>
    <w:rsid w:val="00320DDA"/>
    <w:rsid w:val="00321853"/>
    <w:rsid w:val="0032349B"/>
    <w:rsid w:val="00325DE9"/>
    <w:rsid w:val="00331CA6"/>
    <w:rsid w:val="003325CF"/>
    <w:rsid w:val="00333B40"/>
    <w:rsid w:val="0033645D"/>
    <w:rsid w:val="00336E81"/>
    <w:rsid w:val="00342BBA"/>
    <w:rsid w:val="00343DD9"/>
    <w:rsid w:val="00344D02"/>
    <w:rsid w:val="00350446"/>
    <w:rsid w:val="00357872"/>
    <w:rsid w:val="003622A4"/>
    <w:rsid w:val="00367E80"/>
    <w:rsid w:val="00371625"/>
    <w:rsid w:val="00374E29"/>
    <w:rsid w:val="00376380"/>
    <w:rsid w:val="003810EA"/>
    <w:rsid w:val="003B0697"/>
    <w:rsid w:val="003B1E0E"/>
    <w:rsid w:val="003B50A4"/>
    <w:rsid w:val="003B724D"/>
    <w:rsid w:val="003D1FDF"/>
    <w:rsid w:val="003D6AEE"/>
    <w:rsid w:val="003D7F15"/>
    <w:rsid w:val="003E0A79"/>
    <w:rsid w:val="003F01B4"/>
    <w:rsid w:val="00400C95"/>
    <w:rsid w:val="00403322"/>
    <w:rsid w:val="00405915"/>
    <w:rsid w:val="004164BE"/>
    <w:rsid w:val="00417674"/>
    <w:rsid w:val="0042008A"/>
    <w:rsid w:val="004203B5"/>
    <w:rsid w:val="004264A1"/>
    <w:rsid w:val="00435D6E"/>
    <w:rsid w:val="00441A8E"/>
    <w:rsid w:val="004432C2"/>
    <w:rsid w:val="004462F0"/>
    <w:rsid w:val="0044774E"/>
    <w:rsid w:val="004479AD"/>
    <w:rsid w:val="00454287"/>
    <w:rsid w:val="004578D2"/>
    <w:rsid w:val="004606BD"/>
    <w:rsid w:val="00477FEC"/>
    <w:rsid w:val="00487971"/>
    <w:rsid w:val="004910E8"/>
    <w:rsid w:val="00496BBC"/>
    <w:rsid w:val="004A14D5"/>
    <w:rsid w:val="004A5CA3"/>
    <w:rsid w:val="004A7F21"/>
    <w:rsid w:val="004B48F7"/>
    <w:rsid w:val="004C198D"/>
    <w:rsid w:val="004C291C"/>
    <w:rsid w:val="004C40EA"/>
    <w:rsid w:val="004D4687"/>
    <w:rsid w:val="004E0A61"/>
    <w:rsid w:val="004E392C"/>
    <w:rsid w:val="004E5B78"/>
    <w:rsid w:val="004F05B1"/>
    <w:rsid w:val="004F2E79"/>
    <w:rsid w:val="0050500E"/>
    <w:rsid w:val="00522233"/>
    <w:rsid w:val="00526AC2"/>
    <w:rsid w:val="005317B2"/>
    <w:rsid w:val="005339D5"/>
    <w:rsid w:val="00541FB5"/>
    <w:rsid w:val="00542446"/>
    <w:rsid w:val="00543CCC"/>
    <w:rsid w:val="0054627D"/>
    <w:rsid w:val="00565F2E"/>
    <w:rsid w:val="00565F7C"/>
    <w:rsid w:val="005707E4"/>
    <w:rsid w:val="00583D02"/>
    <w:rsid w:val="005904A2"/>
    <w:rsid w:val="00591B2D"/>
    <w:rsid w:val="00593A17"/>
    <w:rsid w:val="005949F0"/>
    <w:rsid w:val="00594B85"/>
    <w:rsid w:val="00596232"/>
    <w:rsid w:val="005A08AF"/>
    <w:rsid w:val="005B5B09"/>
    <w:rsid w:val="005B5FF0"/>
    <w:rsid w:val="005C19AE"/>
    <w:rsid w:val="005D593F"/>
    <w:rsid w:val="005E1BE0"/>
    <w:rsid w:val="005E75AC"/>
    <w:rsid w:val="005F00FF"/>
    <w:rsid w:val="00614A2D"/>
    <w:rsid w:val="006208A7"/>
    <w:rsid w:val="00621622"/>
    <w:rsid w:val="00624D5F"/>
    <w:rsid w:val="00624F6B"/>
    <w:rsid w:val="00636227"/>
    <w:rsid w:val="006376D5"/>
    <w:rsid w:val="00651984"/>
    <w:rsid w:val="00653B3E"/>
    <w:rsid w:val="00677EDC"/>
    <w:rsid w:val="00684722"/>
    <w:rsid w:val="00687183"/>
    <w:rsid w:val="00687FA0"/>
    <w:rsid w:val="00690A19"/>
    <w:rsid w:val="00690E00"/>
    <w:rsid w:val="006A3B97"/>
    <w:rsid w:val="006A7126"/>
    <w:rsid w:val="006A7351"/>
    <w:rsid w:val="006B08BE"/>
    <w:rsid w:val="006B0B68"/>
    <w:rsid w:val="006C26F7"/>
    <w:rsid w:val="006C33CD"/>
    <w:rsid w:val="006C4F55"/>
    <w:rsid w:val="006D1F2D"/>
    <w:rsid w:val="006D264C"/>
    <w:rsid w:val="006D736B"/>
    <w:rsid w:val="006E03AC"/>
    <w:rsid w:val="006E21BB"/>
    <w:rsid w:val="006E2BBF"/>
    <w:rsid w:val="00702A09"/>
    <w:rsid w:val="007119B5"/>
    <w:rsid w:val="00711B9D"/>
    <w:rsid w:val="007132D8"/>
    <w:rsid w:val="00713C71"/>
    <w:rsid w:val="00717150"/>
    <w:rsid w:val="007226C5"/>
    <w:rsid w:val="00722FA6"/>
    <w:rsid w:val="0072321B"/>
    <w:rsid w:val="00731249"/>
    <w:rsid w:val="007347B7"/>
    <w:rsid w:val="007364C3"/>
    <w:rsid w:val="00745969"/>
    <w:rsid w:val="00751B32"/>
    <w:rsid w:val="00762578"/>
    <w:rsid w:val="007674B9"/>
    <w:rsid w:val="0077628B"/>
    <w:rsid w:val="007818C2"/>
    <w:rsid w:val="00782D36"/>
    <w:rsid w:val="007839F8"/>
    <w:rsid w:val="007855BE"/>
    <w:rsid w:val="00786C3E"/>
    <w:rsid w:val="007C3860"/>
    <w:rsid w:val="007C495B"/>
    <w:rsid w:val="007C5B7D"/>
    <w:rsid w:val="007D58FF"/>
    <w:rsid w:val="007F198F"/>
    <w:rsid w:val="008063C7"/>
    <w:rsid w:val="00806EBF"/>
    <w:rsid w:val="00830305"/>
    <w:rsid w:val="00835098"/>
    <w:rsid w:val="0083775F"/>
    <w:rsid w:val="00842212"/>
    <w:rsid w:val="00845853"/>
    <w:rsid w:val="00846EEB"/>
    <w:rsid w:val="00861886"/>
    <w:rsid w:val="00864F23"/>
    <w:rsid w:val="00865178"/>
    <w:rsid w:val="008770F5"/>
    <w:rsid w:val="0088277E"/>
    <w:rsid w:val="0088447E"/>
    <w:rsid w:val="00890008"/>
    <w:rsid w:val="00893400"/>
    <w:rsid w:val="0089396C"/>
    <w:rsid w:val="00897BC3"/>
    <w:rsid w:val="008A62BB"/>
    <w:rsid w:val="008B0CF3"/>
    <w:rsid w:val="008B10CF"/>
    <w:rsid w:val="008B2176"/>
    <w:rsid w:val="008B4630"/>
    <w:rsid w:val="008C2BFA"/>
    <w:rsid w:val="008E2A29"/>
    <w:rsid w:val="008E3BC6"/>
    <w:rsid w:val="008E4752"/>
    <w:rsid w:val="008E5093"/>
    <w:rsid w:val="008E521A"/>
    <w:rsid w:val="008E74BE"/>
    <w:rsid w:val="008F0C87"/>
    <w:rsid w:val="008F13B9"/>
    <w:rsid w:val="008F5E55"/>
    <w:rsid w:val="009004A6"/>
    <w:rsid w:val="00902201"/>
    <w:rsid w:val="009109C0"/>
    <w:rsid w:val="00913065"/>
    <w:rsid w:val="00914C60"/>
    <w:rsid w:val="009158B4"/>
    <w:rsid w:val="00917318"/>
    <w:rsid w:val="00920367"/>
    <w:rsid w:val="00924895"/>
    <w:rsid w:val="009255DC"/>
    <w:rsid w:val="009414CB"/>
    <w:rsid w:val="00943991"/>
    <w:rsid w:val="00946E26"/>
    <w:rsid w:val="00957066"/>
    <w:rsid w:val="009608E6"/>
    <w:rsid w:val="00971E24"/>
    <w:rsid w:val="00984B6A"/>
    <w:rsid w:val="009866A2"/>
    <w:rsid w:val="0098695A"/>
    <w:rsid w:val="009A519C"/>
    <w:rsid w:val="009B14BB"/>
    <w:rsid w:val="009B1A9A"/>
    <w:rsid w:val="009C03E5"/>
    <w:rsid w:val="009C10A8"/>
    <w:rsid w:val="009C1913"/>
    <w:rsid w:val="009C1FAC"/>
    <w:rsid w:val="009D1040"/>
    <w:rsid w:val="009D6B22"/>
    <w:rsid w:val="009F0DE4"/>
    <w:rsid w:val="009F6E80"/>
    <w:rsid w:val="00A01BD3"/>
    <w:rsid w:val="00A12BFD"/>
    <w:rsid w:val="00A12E23"/>
    <w:rsid w:val="00A21129"/>
    <w:rsid w:val="00A32F33"/>
    <w:rsid w:val="00A36B8C"/>
    <w:rsid w:val="00A46D66"/>
    <w:rsid w:val="00A477F6"/>
    <w:rsid w:val="00A56630"/>
    <w:rsid w:val="00A6187D"/>
    <w:rsid w:val="00A65736"/>
    <w:rsid w:val="00A701E0"/>
    <w:rsid w:val="00A75531"/>
    <w:rsid w:val="00A762FB"/>
    <w:rsid w:val="00A84BC1"/>
    <w:rsid w:val="00A853E9"/>
    <w:rsid w:val="00A86F44"/>
    <w:rsid w:val="00A9410E"/>
    <w:rsid w:val="00A955C5"/>
    <w:rsid w:val="00A9646C"/>
    <w:rsid w:val="00A96758"/>
    <w:rsid w:val="00AA0CB4"/>
    <w:rsid w:val="00AC1596"/>
    <w:rsid w:val="00AD2509"/>
    <w:rsid w:val="00AD4D86"/>
    <w:rsid w:val="00AE0884"/>
    <w:rsid w:val="00AE5427"/>
    <w:rsid w:val="00AE748C"/>
    <w:rsid w:val="00AF6AE4"/>
    <w:rsid w:val="00B00B34"/>
    <w:rsid w:val="00B03D80"/>
    <w:rsid w:val="00B03E22"/>
    <w:rsid w:val="00B10629"/>
    <w:rsid w:val="00B15041"/>
    <w:rsid w:val="00B2400F"/>
    <w:rsid w:val="00B25A99"/>
    <w:rsid w:val="00B266A9"/>
    <w:rsid w:val="00B375BA"/>
    <w:rsid w:val="00B421BC"/>
    <w:rsid w:val="00B4685D"/>
    <w:rsid w:val="00B46EA6"/>
    <w:rsid w:val="00B50F8B"/>
    <w:rsid w:val="00B62B39"/>
    <w:rsid w:val="00B63AB3"/>
    <w:rsid w:val="00B6438A"/>
    <w:rsid w:val="00B719C4"/>
    <w:rsid w:val="00B96B84"/>
    <w:rsid w:val="00BA1135"/>
    <w:rsid w:val="00BA7825"/>
    <w:rsid w:val="00BC15E6"/>
    <w:rsid w:val="00BC1A13"/>
    <w:rsid w:val="00BC1FF7"/>
    <w:rsid w:val="00BC302B"/>
    <w:rsid w:val="00BC5CA0"/>
    <w:rsid w:val="00BC780B"/>
    <w:rsid w:val="00BC7B4E"/>
    <w:rsid w:val="00BD03E3"/>
    <w:rsid w:val="00BD6559"/>
    <w:rsid w:val="00BE0C54"/>
    <w:rsid w:val="00BE6288"/>
    <w:rsid w:val="00BF271E"/>
    <w:rsid w:val="00BF320D"/>
    <w:rsid w:val="00BF3402"/>
    <w:rsid w:val="00C0175C"/>
    <w:rsid w:val="00C109D0"/>
    <w:rsid w:val="00C1624F"/>
    <w:rsid w:val="00C20002"/>
    <w:rsid w:val="00C25AEA"/>
    <w:rsid w:val="00C26A61"/>
    <w:rsid w:val="00C32690"/>
    <w:rsid w:val="00C35F86"/>
    <w:rsid w:val="00C41B8A"/>
    <w:rsid w:val="00C561E5"/>
    <w:rsid w:val="00C578C0"/>
    <w:rsid w:val="00C657ED"/>
    <w:rsid w:val="00C740BD"/>
    <w:rsid w:val="00C75014"/>
    <w:rsid w:val="00C759E0"/>
    <w:rsid w:val="00C82F04"/>
    <w:rsid w:val="00C926F4"/>
    <w:rsid w:val="00CA08A0"/>
    <w:rsid w:val="00CA66E5"/>
    <w:rsid w:val="00CB2E3C"/>
    <w:rsid w:val="00CB3104"/>
    <w:rsid w:val="00CB4ED0"/>
    <w:rsid w:val="00CB737E"/>
    <w:rsid w:val="00CB764E"/>
    <w:rsid w:val="00CC385D"/>
    <w:rsid w:val="00CC7D1D"/>
    <w:rsid w:val="00CE3A0A"/>
    <w:rsid w:val="00CE6108"/>
    <w:rsid w:val="00CF7899"/>
    <w:rsid w:val="00D06D7F"/>
    <w:rsid w:val="00D146F1"/>
    <w:rsid w:val="00D15C88"/>
    <w:rsid w:val="00D177DF"/>
    <w:rsid w:val="00D25C3C"/>
    <w:rsid w:val="00D26EB7"/>
    <w:rsid w:val="00D32CB6"/>
    <w:rsid w:val="00D4739C"/>
    <w:rsid w:val="00D56D70"/>
    <w:rsid w:val="00D6162C"/>
    <w:rsid w:val="00D621EE"/>
    <w:rsid w:val="00D647C2"/>
    <w:rsid w:val="00D7041F"/>
    <w:rsid w:val="00D70A15"/>
    <w:rsid w:val="00D7523C"/>
    <w:rsid w:val="00D80082"/>
    <w:rsid w:val="00D84117"/>
    <w:rsid w:val="00D90D3C"/>
    <w:rsid w:val="00D9295B"/>
    <w:rsid w:val="00DA24F3"/>
    <w:rsid w:val="00DA4403"/>
    <w:rsid w:val="00DB00C3"/>
    <w:rsid w:val="00DC0BF5"/>
    <w:rsid w:val="00DC36D9"/>
    <w:rsid w:val="00DC7D2C"/>
    <w:rsid w:val="00DE4085"/>
    <w:rsid w:val="00DE44F0"/>
    <w:rsid w:val="00DE46D2"/>
    <w:rsid w:val="00DF7290"/>
    <w:rsid w:val="00E01CD5"/>
    <w:rsid w:val="00E02C7B"/>
    <w:rsid w:val="00E03FD9"/>
    <w:rsid w:val="00E14EAB"/>
    <w:rsid w:val="00E179B5"/>
    <w:rsid w:val="00E20115"/>
    <w:rsid w:val="00E21EBF"/>
    <w:rsid w:val="00E25429"/>
    <w:rsid w:val="00E42BBD"/>
    <w:rsid w:val="00E456FE"/>
    <w:rsid w:val="00E47004"/>
    <w:rsid w:val="00E640F7"/>
    <w:rsid w:val="00E7089F"/>
    <w:rsid w:val="00E8247A"/>
    <w:rsid w:val="00E86A62"/>
    <w:rsid w:val="00E94140"/>
    <w:rsid w:val="00E97E84"/>
    <w:rsid w:val="00EA45B4"/>
    <w:rsid w:val="00EA6EB9"/>
    <w:rsid w:val="00EA7FE7"/>
    <w:rsid w:val="00EE1407"/>
    <w:rsid w:val="00EE4FC3"/>
    <w:rsid w:val="00EF02F5"/>
    <w:rsid w:val="00EF0B3D"/>
    <w:rsid w:val="00EF4CB4"/>
    <w:rsid w:val="00EF6558"/>
    <w:rsid w:val="00EF6CC3"/>
    <w:rsid w:val="00F00DEC"/>
    <w:rsid w:val="00F02969"/>
    <w:rsid w:val="00F11DF3"/>
    <w:rsid w:val="00F23FD9"/>
    <w:rsid w:val="00F240A9"/>
    <w:rsid w:val="00F30877"/>
    <w:rsid w:val="00F3224D"/>
    <w:rsid w:val="00F35EC4"/>
    <w:rsid w:val="00F409E4"/>
    <w:rsid w:val="00F86E5F"/>
    <w:rsid w:val="00F87DF3"/>
    <w:rsid w:val="00F9518E"/>
    <w:rsid w:val="00F970C8"/>
    <w:rsid w:val="00FB1878"/>
    <w:rsid w:val="00FC6962"/>
    <w:rsid w:val="00FC6ED0"/>
    <w:rsid w:val="00FC798A"/>
    <w:rsid w:val="00FD2336"/>
    <w:rsid w:val="00FD7B35"/>
    <w:rsid w:val="00FE08DF"/>
    <w:rsid w:val="00FF07AE"/>
    <w:rsid w:val="00FF0ECB"/>
    <w:rsid w:val="00FF50D1"/>
    <w:rsid w:val="017B037D"/>
    <w:rsid w:val="01A96302"/>
    <w:rsid w:val="04F468F9"/>
    <w:rsid w:val="0ED962C0"/>
    <w:rsid w:val="0F6B61E3"/>
    <w:rsid w:val="12223BE0"/>
    <w:rsid w:val="134E4615"/>
    <w:rsid w:val="1453700D"/>
    <w:rsid w:val="17625D90"/>
    <w:rsid w:val="18841049"/>
    <w:rsid w:val="19646DE0"/>
    <w:rsid w:val="1A513193"/>
    <w:rsid w:val="1B9C3F8F"/>
    <w:rsid w:val="1D6D5C31"/>
    <w:rsid w:val="1DCC71C5"/>
    <w:rsid w:val="1E186A94"/>
    <w:rsid w:val="1E270F21"/>
    <w:rsid w:val="206009D6"/>
    <w:rsid w:val="20876E37"/>
    <w:rsid w:val="22907A26"/>
    <w:rsid w:val="235C7040"/>
    <w:rsid w:val="27857B30"/>
    <w:rsid w:val="28297FB3"/>
    <w:rsid w:val="28E3570A"/>
    <w:rsid w:val="2CC43ACE"/>
    <w:rsid w:val="2D0A5EA2"/>
    <w:rsid w:val="2D2979E7"/>
    <w:rsid w:val="31020686"/>
    <w:rsid w:val="33245627"/>
    <w:rsid w:val="33CF255C"/>
    <w:rsid w:val="38C353CF"/>
    <w:rsid w:val="3F03766A"/>
    <w:rsid w:val="3F0F6B3A"/>
    <w:rsid w:val="4089639A"/>
    <w:rsid w:val="41B65C48"/>
    <w:rsid w:val="45701B00"/>
    <w:rsid w:val="49CE2EC8"/>
    <w:rsid w:val="4A6156DF"/>
    <w:rsid w:val="4B746B9E"/>
    <w:rsid w:val="4C112767"/>
    <w:rsid w:val="4C4F340D"/>
    <w:rsid w:val="4C7A3376"/>
    <w:rsid w:val="4F026738"/>
    <w:rsid w:val="4F4A3080"/>
    <w:rsid w:val="51641ED4"/>
    <w:rsid w:val="5441383F"/>
    <w:rsid w:val="55D25501"/>
    <w:rsid w:val="563362DD"/>
    <w:rsid w:val="5AD842DD"/>
    <w:rsid w:val="5C271A10"/>
    <w:rsid w:val="5D0A3A84"/>
    <w:rsid w:val="5E584CF6"/>
    <w:rsid w:val="5E9B1EFB"/>
    <w:rsid w:val="5F70542F"/>
    <w:rsid w:val="61B72E07"/>
    <w:rsid w:val="61DD0478"/>
    <w:rsid w:val="639E7749"/>
    <w:rsid w:val="63FF32B4"/>
    <w:rsid w:val="6B7147C6"/>
    <w:rsid w:val="6F735CBA"/>
    <w:rsid w:val="716647E3"/>
    <w:rsid w:val="71CD548F"/>
    <w:rsid w:val="740D4290"/>
    <w:rsid w:val="75B33544"/>
    <w:rsid w:val="76D669B3"/>
    <w:rsid w:val="7A1B3F9B"/>
    <w:rsid w:val="7B914D52"/>
    <w:rsid w:val="7EB12B9D"/>
    <w:rsid w:val="7FAC40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8"/>
    <w:semiHidden/>
    <w:qFormat/>
    <w:uiPriority w:val="0"/>
    <w:rPr>
      <w:kern w:val="0"/>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qFormat/>
    <w:uiPriority w:val="0"/>
    <w:rPr>
      <w:color w:val="0000FF"/>
      <w:u w:val="single"/>
    </w:rPr>
  </w:style>
  <w:style w:type="character" w:customStyle="1" w:styleId="8">
    <w:name w:val="批注框文本 Char"/>
    <w:link w:val="2"/>
    <w:semiHidden/>
    <w:qFormat/>
    <w:uiPriority w:val="0"/>
    <w:rPr>
      <w:rFonts w:ascii="Times New Roman" w:hAnsi="Times New Roman" w:eastAsia="宋体" w:cs="Times New Roman"/>
      <w:sz w:val="18"/>
      <w:szCs w:val="18"/>
    </w:rPr>
  </w:style>
  <w:style w:type="character" w:customStyle="1" w:styleId="9">
    <w:name w:val="页脚 Char"/>
    <w:link w:val="3"/>
    <w:qFormat/>
    <w:uiPriority w:val="99"/>
    <w:rPr>
      <w:rFonts w:ascii="Times New Roman" w:hAnsi="Times New Roman"/>
      <w:kern w:val="2"/>
      <w:sz w:val="18"/>
      <w:szCs w:val="18"/>
    </w:rPr>
  </w:style>
  <w:style w:type="character" w:customStyle="1" w:styleId="10">
    <w:name w:val="页眉 Char"/>
    <w:link w:val="4"/>
    <w:qFormat/>
    <w:uiPriority w:val="99"/>
    <w:rPr>
      <w:rFonts w:ascii="Times New Roman" w:hAnsi="Times New Roman"/>
      <w:kern w:val="2"/>
      <w:sz w:val="18"/>
      <w:szCs w:val="18"/>
    </w:rPr>
  </w:style>
  <w:style w:type="character" w:customStyle="1" w:styleId="11">
    <w:name w:val="apple-converted-space"/>
    <w:qFormat/>
    <w:uiPriority w:val="0"/>
  </w:style>
  <w:style w:type="character" w:customStyle="1" w:styleId="12">
    <w:name w:val="apple-style-span"/>
    <w:qFormat/>
    <w:uiPriority w:val="0"/>
  </w:style>
  <w:style w:type="paragraph" w:customStyle="1" w:styleId="13">
    <w:name w:val="p0"/>
    <w:basedOn w:val="1"/>
    <w:qFormat/>
    <w:uiPriority w:val="0"/>
    <w:pPr>
      <w:widowControl/>
    </w:pPr>
    <w:rPr>
      <w:kern w:val="0"/>
      <w:szCs w:val="21"/>
    </w:rPr>
  </w:style>
  <w:style w:type="paragraph" w:customStyle="1" w:styleId="14">
    <w:name w:val="Char"/>
    <w:basedOn w:val="1"/>
    <w:next w:val="1"/>
    <w:qFormat/>
    <w:uiPriority w:val="0"/>
    <w:pPr>
      <w:pageBreakBefore/>
      <w:numPr>
        <w:ilvl w:val="0"/>
        <w:numId w:val="1"/>
      </w:numPr>
      <w:spacing w:line="400" w:lineRule="exact"/>
    </w:pPr>
    <w:rPr>
      <w:rFonts w:eastAsia="黑体"/>
      <w:sz w:val="32"/>
      <w:szCs w:val="32"/>
    </w:rPr>
  </w:style>
  <w:style w:type="paragraph" w:customStyle="1" w:styleId="15">
    <w:name w:val="_Style 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16">
    <w:name w:val="Char1"/>
    <w:basedOn w:val="1"/>
    <w:qFormat/>
    <w:uiPriority w:val="0"/>
    <w:pPr>
      <w:widowControl/>
      <w:spacing w:after="160" w:line="240" w:lineRule="exact"/>
      <w:jc w:val="left"/>
    </w:pPr>
    <w:rPr>
      <w:rFonts w:ascii="Arial" w:hAnsi="Arial" w:eastAsia="Times New Roman" w:cs="Verdana"/>
      <w:b/>
      <w:kern w:val="0"/>
      <w:sz w:val="24"/>
      <w:szCs w:val="20"/>
      <w:lang w:eastAsia="en-US"/>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header" Target="header1.xml"/><Relationship Id="rId7" Type="http://schemas.openxmlformats.org/officeDocument/2006/relationships/fontTable" Target="fontTable.xml"/><Relationship Id="rId2" Type="http://schemas.openxmlformats.org/officeDocument/2006/relationships/settings" Target="settings.xml"/><Relationship Id="rId6" Type="http://schemas.openxmlformats.org/officeDocument/2006/relationships/numbering" Target="numbering.xml"/><Relationship Id="rId1" Type="http://schemas.openxmlformats.org/officeDocument/2006/relationships/styles" Target="styles.xml"/><Relationship Id="rId5" Type="http://schemas.openxmlformats.org/officeDocument/2006/relationships/customXml" Target="../customXml/item1.xml"/><Relationship Id="rId10" Type="http://schemas.openxmlformats.org/officeDocument/2006/relationships/customXml" Target="../customXml/item4.xml"/><Relationship Id="rId4" Type="http://schemas.openxmlformats.org/officeDocument/2006/relationships/theme" Target="theme/theme1.xml"/><Relationship Id="rId9"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815A4E3F40D3849A83AB053AC3A69FE" ma:contentTypeVersion="10" ma:contentTypeDescription="Create a new document." ma:contentTypeScope="" ma:versionID="08f14d92069c152db6d13efebb47cdf1">
  <xsd:schema xmlns:xsd="http://www.w3.org/2001/XMLSchema" xmlns:xs="http://www.w3.org/2001/XMLSchema" xmlns:p="http://schemas.microsoft.com/office/2006/metadata/properties" xmlns:ns2="6ec941c6-1389-45b0-b27a-f2c68868a6fd" xmlns:ns3="7e029278-9d47-48ef-bcf1-d29063dd5cd5" targetNamespace="http://schemas.microsoft.com/office/2006/metadata/properties" ma:root="true" ma:fieldsID="7ddb1e3191b2a580a52b57bf2ef95dc5" ns2:_="" ns3:_="">
    <xsd:import namespace="6ec941c6-1389-45b0-b27a-f2c68868a6fd"/>
    <xsd:import namespace="7e029278-9d47-48ef-bcf1-d29063dd5c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941c6-1389-45b0-b27a-f2c68868a6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34345-156e-4042-bdac-36dbe0d4db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029278-9d47-48ef-bcf1-d29063dd5cd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c8b4f98-28cd-4f10-909e-92d507247910}" ma:internalName="TaxCatchAll" ma:showField="CatchAllData" ma:web="7e029278-9d47-48ef-bcf1-d29063dd5c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e029278-9d47-48ef-bcf1-d29063dd5cd5" xsi:nil="true"/>
    <lcf76f155ced4ddcb4097134ff3c332f xmlns="6ec941c6-1389-45b0-b27a-f2c68868a6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9BA784-D236-4FAE-9477-41BD6E768B52}"/>
</file>

<file path=customXml/itemProps3.xml><?xml version="1.0" encoding="utf-8"?>
<ds:datastoreItem xmlns:ds="http://schemas.openxmlformats.org/officeDocument/2006/customXml" ds:itemID="{EAA07389-1BEF-4F95-9163-23E78DF161D4}"/>
</file>

<file path=customXml/itemProps4.xml><?xml version="1.0" encoding="utf-8"?>
<ds:datastoreItem xmlns:ds="http://schemas.openxmlformats.org/officeDocument/2006/customXml" ds:itemID="{DF3C8868-24AB-4D00-A8C9-6AB5A7ADC309}"/>
</file>

<file path=docProps/app.xml><?xml version="1.0" encoding="utf-8"?>
<Properties xmlns="http://schemas.openxmlformats.org/officeDocument/2006/extended-properties" xmlns:vt="http://schemas.openxmlformats.org/officeDocument/2006/docPropsVTypes">
  <Template>Normal</Template>
  <Pages>4</Pages>
  <Words>1937</Words>
  <Characters>12063</Characters>
  <Lines>124</Lines>
  <Paragraphs>34</Paragraphs>
  <TotalTime>1</TotalTime>
  <ScaleCrop>false</ScaleCrop>
  <LinksUpToDate>false</LinksUpToDate>
  <CharactersWithSpaces>13900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creator>Amy</dc:creator>
  <cp:lastModifiedBy>ShiYongRen</cp:lastModifiedBy>
  <cp:revision>2</cp:revision>
  <cp:lastPrinted>2016-02-24T06:55:00Z</cp:lastPrinted>
  <dcterms:created xsi:type="dcterms:W3CDTF">2026-05-20T01:57:00Z</dcterms:created>
  <dcterms:modified xsi:type="dcterms:W3CDTF">2026-07-30T20:16:19Z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0AC38DCDD12E4D038DE90E87A4D3B4F1</vt:lpwstr>
  </property>
  <property fmtid="{D5CDD505-2E9C-101B-9397-08002B2CF9AE}" pid="4" name="ContentTypeId">
    <vt:lpwstr>0x010100A815A4E3F40D3849A83AB053AC3A69FE</vt:lpwstr>
  </property>
</Properties>
</file>